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663EE" w:rsidRPr="00366F2F" w:rsidTr="00566C32">
        <w:trPr>
          <w:trHeight w:val="1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3663EE" w:rsidRPr="00A87A4C" w:rsidRDefault="003663EE" w:rsidP="00566C32">
            <w:pPr>
              <w:jc w:val="center"/>
              <w:rPr>
                <w:rFonts w:ascii="Open Sans" w:hAnsi="Open Sans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</w:pPr>
            <w:r w:rsidRPr="00A87A4C">
              <w:rPr>
                <w:rFonts w:ascii="Open Sans" w:hAnsi="Open Sans" w:cs="Thonburi"/>
                <w:noProof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drawing>
                <wp:anchor distT="0" distB="0" distL="114300" distR="114300" simplePos="0" relativeHeight="251659264" behindDoc="0" locked="0" layoutInCell="1" allowOverlap="1" wp14:anchorId="0B21AE28" wp14:editId="2622F054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772858" cy="612000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5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A4C">
              <w:rPr>
                <w:rFonts w:ascii="Open Sans" w:hAnsi="Open Sans" w:cs="Thonburi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t>Федеральное</w:t>
            </w:r>
            <w:r w:rsidRPr="00A87A4C">
              <w:rPr>
                <w:rFonts w:ascii="Open Sans" w:hAnsi="Open Sans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t xml:space="preserve"> </w:t>
            </w:r>
            <w:r w:rsidRPr="00A87A4C">
              <w:rPr>
                <w:rFonts w:ascii="Open Sans" w:hAnsi="Open Sans" w:cs="Thonburi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t>государственное</w:t>
            </w:r>
            <w:r w:rsidRPr="00A87A4C">
              <w:rPr>
                <w:rFonts w:ascii="Open Sans" w:hAnsi="Open Sans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t xml:space="preserve"> </w:t>
            </w:r>
            <w:r w:rsidRPr="00A87A4C">
              <w:rPr>
                <w:rFonts w:ascii="Open Sans" w:hAnsi="Open Sans" w:cs="Thonburi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t>бюджетное</w:t>
            </w:r>
            <w:r w:rsidRPr="00A87A4C">
              <w:rPr>
                <w:rFonts w:ascii="Open Sans" w:hAnsi="Open Sans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t xml:space="preserve"> </w:t>
            </w:r>
            <w:r w:rsidRPr="00A87A4C">
              <w:rPr>
                <w:rFonts w:ascii="Open Sans" w:hAnsi="Open Sans" w:cs="Thonburi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t>учреждение</w:t>
            </w:r>
          </w:p>
          <w:p w:rsidR="003663EE" w:rsidRPr="000F276E" w:rsidRDefault="003663EE" w:rsidP="00566C32">
            <w:pPr>
              <w:jc w:val="center"/>
              <w:rPr>
                <w:rFonts w:ascii="Open Sans" w:hAnsi="Open Sans" w:cs="Thonburi"/>
                <w:spacing w:val="20"/>
                <w:sz w:val="20"/>
                <w:szCs w:val="20"/>
              </w:rPr>
            </w:pPr>
            <w:r w:rsidRPr="00A87A4C">
              <w:rPr>
                <w:rFonts w:ascii="Open Sans" w:hAnsi="Open Sans" w:cs="Thonburi"/>
                <w:spacing w:val="20"/>
                <w:kern w:val="22"/>
                <w:sz w:val="18"/>
                <w:szCs w:val="18"/>
                <w14:ligatures w14:val="standard"/>
                <w14:numSpacing w14:val="proportional"/>
              </w:rPr>
              <w:t>ФГБУ «НИИ онкологии им. Н.Н. Петрова» Минздрава России</w:t>
            </w:r>
          </w:p>
        </w:tc>
      </w:tr>
      <w:tr w:rsidR="003663EE" w:rsidRPr="00366F2F" w:rsidTr="00566C32">
        <w:tc>
          <w:tcPr>
            <w:tcW w:w="10173" w:type="dxa"/>
          </w:tcPr>
          <w:p w:rsidR="003663EE" w:rsidRPr="00A87A4C" w:rsidRDefault="003663EE" w:rsidP="00566C32">
            <w:pPr>
              <w:spacing w:before="120"/>
              <w:jc w:val="center"/>
              <w:rPr>
                <w:rFonts w:ascii="Open Sans" w:hAnsi="Open Sans" w:cs="Thonburi"/>
                <w:spacing w:val="20"/>
                <w:sz w:val="16"/>
                <w:szCs w:val="16"/>
              </w:rPr>
            </w:pP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пос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 xml:space="preserve">. </w:t>
            </w: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Песочный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 xml:space="preserve">, </w:t>
            </w: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ул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 xml:space="preserve">. </w:t>
            </w: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Ленинградская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 xml:space="preserve">, </w:t>
            </w: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д.</w:t>
            </w:r>
            <w:r>
              <w:rPr>
                <w:rFonts w:ascii="Open Sans" w:hAnsi="Open Sans"/>
                <w:spacing w:val="20"/>
                <w:sz w:val="16"/>
                <w:szCs w:val="16"/>
              </w:rPr>
              <w:t xml:space="preserve"> 68, </w:t>
            </w: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Санкт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>-</w:t>
            </w: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Петербург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>, 197758</w:t>
            </w:r>
          </w:p>
        </w:tc>
      </w:tr>
      <w:tr w:rsidR="003663EE" w:rsidRPr="00366F2F" w:rsidTr="00566C32">
        <w:tc>
          <w:tcPr>
            <w:tcW w:w="10173" w:type="dxa"/>
          </w:tcPr>
          <w:p w:rsidR="003663EE" w:rsidRPr="008D4892" w:rsidRDefault="003663EE" w:rsidP="003A5E4B">
            <w:pPr>
              <w:jc w:val="center"/>
              <w:rPr>
                <w:rFonts w:ascii="Open Sans" w:hAnsi="Open Sans" w:cs="Thonburi"/>
                <w:spacing w:val="20"/>
                <w:sz w:val="16"/>
                <w:szCs w:val="16"/>
              </w:rPr>
            </w:pP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Тел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 xml:space="preserve">.: (812) </w:t>
            </w:r>
            <w:r w:rsidR="003A5E4B">
              <w:rPr>
                <w:rFonts w:ascii="Open Sans" w:hAnsi="Open Sans"/>
                <w:spacing w:val="20"/>
                <w:sz w:val="16"/>
                <w:szCs w:val="16"/>
              </w:rPr>
              <w:t>43-99-55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 xml:space="preserve">5. </w:t>
            </w:r>
            <w:r w:rsidRPr="00A87A4C">
              <w:rPr>
                <w:rFonts w:ascii="Open Sans" w:hAnsi="Open Sans" w:cs="Thonburi"/>
                <w:spacing w:val="20"/>
                <w:sz w:val="16"/>
                <w:szCs w:val="16"/>
              </w:rPr>
              <w:t>Факс</w:t>
            </w:r>
            <w:r>
              <w:rPr>
                <w:rFonts w:ascii="Open Sans" w:hAnsi="Open Sans"/>
                <w:spacing w:val="20"/>
                <w:sz w:val="16"/>
                <w:szCs w:val="16"/>
              </w:rPr>
              <w:t>: (812) 59</w:t>
            </w:r>
            <w:r w:rsidR="003A5E4B">
              <w:rPr>
                <w:rFonts w:ascii="Open Sans" w:hAnsi="Open Sans"/>
                <w:spacing w:val="20"/>
                <w:sz w:val="16"/>
                <w:szCs w:val="16"/>
              </w:rPr>
              <w:t>-6</w:t>
            </w:r>
            <w:r>
              <w:rPr>
                <w:rFonts w:ascii="Open Sans" w:hAnsi="Open Sans"/>
                <w:spacing w:val="20"/>
                <w:sz w:val="16"/>
                <w:szCs w:val="16"/>
              </w:rPr>
              <w:t>8</w:t>
            </w:r>
            <w:r w:rsidR="003A5E4B">
              <w:rPr>
                <w:rFonts w:ascii="Open Sans" w:hAnsi="Open Sans"/>
                <w:spacing w:val="20"/>
                <w:sz w:val="16"/>
                <w:szCs w:val="16"/>
              </w:rPr>
              <w:t>-</w:t>
            </w:r>
            <w:r>
              <w:rPr>
                <w:rFonts w:ascii="Open Sans" w:hAnsi="Open Sans"/>
                <w:spacing w:val="20"/>
                <w:sz w:val="16"/>
                <w:szCs w:val="16"/>
              </w:rPr>
              <w:t xml:space="preserve">947 </w:t>
            </w:r>
            <w:r w:rsidRPr="00A87A4C">
              <w:rPr>
                <w:rFonts w:ascii="Open Sans" w:hAnsi="Open Sans"/>
                <w:spacing w:val="20"/>
                <w:sz w:val="16"/>
                <w:szCs w:val="16"/>
              </w:rPr>
              <w:t>niioncologii.ru</w:t>
            </w:r>
          </w:p>
        </w:tc>
      </w:tr>
    </w:tbl>
    <w:p w:rsidR="00140600" w:rsidRDefault="00140600" w:rsidP="003663EE">
      <w:pPr>
        <w:pStyle w:val="a3"/>
        <w:tabs>
          <w:tab w:val="left" w:pos="426"/>
        </w:tabs>
        <w:jc w:val="right"/>
        <w:rPr>
          <w:b/>
          <w:i/>
        </w:rPr>
      </w:pPr>
    </w:p>
    <w:p w:rsidR="003663EE" w:rsidRPr="003663EE" w:rsidRDefault="003663EE" w:rsidP="003663EE">
      <w:pPr>
        <w:pStyle w:val="a3"/>
        <w:tabs>
          <w:tab w:val="left" w:pos="426"/>
        </w:tabs>
        <w:jc w:val="right"/>
        <w:rPr>
          <w:b/>
          <w:i/>
        </w:rPr>
      </w:pPr>
      <w:r w:rsidRPr="003663EE">
        <w:rPr>
          <w:b/>
          <w:i/>
        </w:rPr>
        <w:t>ФГБУ «НИИ онкологии им. Н.Н. Петрова» Минздрава России</w:t>
      </w:r>
    </w:p>
    <w:p w:rsidR="003663EE" w:rsidRPr="003663EE" w:rsidRDefault="003663EE" w:rsidP="003663EE">
      <w:pPr>
        <w:pStyle w:val="a3"/>
        <w:tabs>
          <w:tab w:val="left" w:pos="426"/>
        </w:tabs>
        <w:jc w:val="right"/>
        <w:rPr>
          <w:b/>
          <w:i/>
        </w:rPr>
      </w:pPr>
      <w:r w:rsidRPr="003663EE">
        <w:rPr>
          <w:b/>
          <w:i/>
        </w:rPr>
        <w:t xml:space="preserve">г. Санкт-Петербург, </w:t>
      </w:r>
      <w:r w:rsidR="00D10CE0">
        <w:rPr>
          <w:b/>
          <w:i/>
        </w:rPr>
        <w:t xml:space="preserve">7 </w:t>
      </w:r>
      <w:r w:rsidRPr="003663EE">
        <w:rPr>
          <w:b/>
          <w:i/>
        </w:rPr>
        <w:t>ию</w:t>
      </w:r>
      <w:r w:rsidR="003A5E4B">
        <w:rPr>
          <w:b/>
          <w:i/>
        </w:rPr>
        <w:t>л</w:t>
      </w:r>
      <w:r w:rsidRPr="003663EE">
        <w:rPr>
          <w:b/>
          <w:i/>
        </w:rPr>
        <w:t>я 201</w:t>
      </w:r>
      <w:r w:rsidR="00985098">
        <w:rPr>
          <w:b/>
          <w:i/>
        </w:rPr>
        <w:t>6</w:t>
      </w:r>
      <w:r w:rsidRPr="003663EE">
        <w:rPr>
          <w:b/>
          <w:i/>
        </w:rPr>
        <w:t xml:space="preserve"> г.</w:t>
      </w:r>
    </w:p>
    <w:p w:rsidR="003663EE" w:rsidRDefault="00C7149F" w:rsidP="003663EE">
      <w:pPr>
        <w:pStyle w:val="a3"/>
        <w:tabs>
          <w:tab w:val="left" w:pos="426"/>
        </w:tabs>
        <w:ind w:left="0"/>
        <w:jc w:val="right"/>
        <w:rPr>
          <w:b/>
          <w:i/>
        </w:rPr>
      </w:pPr>
      <w:r>
        <w:rPr>
          <w:b/>
          <w:i/>
        </w:rPr>
        <w:t>Пресс-</w:t>
      </w:r>
      <w:r w:rsidR="00D37051">
        <w:rPr>
          <w:b/>
          <w:i/>
        </w:rPr>
        <w:t>релиз</w:t>
      </w:r>
    </w:p>
    <w:p w:rsidR="00C7149F" w:rsidRDefault="00C7149F" w:rsidP="003663EE">
      <w:pPr>
        <w:pStyle w:val="a3"/>
        <w:tabs>
          <w:tab w:val="left" w:pos="426"/>
        </w:tabs>
        <w:ind w:left="0"/>
        <w:jc w:val="right"/>
        <w:rPr>
          <w:b/>
          <w:i/>
        </w:rPr>
      </w:pPr>
    </w:p>
    <w:p w:rsidR="00C7149F" w:rsidRPr="000179E7" w:rsidRDefault="00E36945" w:rsidP="00C7149F">
      <w:pPr>
        <w:jc w:val="center"/>
        <w:rPr>
          <w:b/>
        </w:rPr>
      </w:pPr>
      <w:r>
        <w:rPr>
          <w:b/>
        </w:rPr>
        <w:t>Завершена м</w:t>
      </w:r>
      <w:r w:rsidR="00C7149F" w:rsidRPr="000179E7">
        <w:rPr>
          <w:b/>
        </w:rPr>
        <w:t>одернизация химиотерапевтического отделения онкологии, гематологии и</w:t>
      </w:r>
    </w:p>
    <w:p w:rsidR="00C7149F" w:rsidRDefault="00C7149F" w:rsidP="00C7149F">
      <w:pPr>
        <w:jc w:val="center"/>
        <w:rPr>
          <w:b/>
        </w:rPr>
      </w:pPr>
      <w:r w:rsidRPr="00C7149F">
        <w:rPr>
          <w:b/>
        </w:rPr>
        <w:t>трансплантации костного мозг</w:t>
      </w:r>
      <w:bookmarkStart w:id="0" w:name="_GoBack"/>
      <w:bookmarkEnd w:id="0"/>
      <w:r w:rsidRPr="00C7149F">
        <w:rPr>
          <w:b/>
        </w:rPr>
        <w:t>а ФГБУ «НИИ онкологии им. Н.Н. Петрова» Минздрава России</w:t>
      </w:r>
    </w:p>
    <w:p w:rsidR="00C40085" w:rsidRDefault="00C40085" w:rsidP="00C40085">
      <w:pPr>
        <w:jc w:val="both"/>
        <w:rPr>
          <w:b/>
          <w:bCs/>
        </w:rPr>
      </w:pPr>
      <w:r>
        <w:rPr>
          <w:b/>
          <w:bCs/>
        </w:rPr>
        <w:t>В НИИ онкологии им. Н.Н. Петрова произведена модернизация отделения онкологии, гематологии и трансплантации костного мозга. Теперь оно в состоянии проводить до 150 трансплантаций костного мозга в год, в том числе самых сложных - аллогенных родственных и неродственных с использованием донорских стволовых клеток. Операции будут проводится как взрослым, так и детям.</w:t>
      </w:r>
    </w:p>
    <w:p w:rsidR="00C40085" w:rsidRDefault="00C40085" w:rsidP="00C40085">
      <w:pPr>
        <w:jc w:val="both"/>
      </w:pPr>
      <w:r>
        <w:tab/>
        <w:t xml:space="preserve">Модернизация отделения трансплантации костного мозга проведена в 2015-2016 годах.  Завершено строительство современных </w:t>
      </w:r>
      <w:proofErr w:type="spellStart"/>
      <w:r>
        <w:t>боксированных</w:t>
      </w:r>
      <w:proofErr w:type="spellEnd"/>
      <w:r>
        <w:t xml:space="preserve"> палат, оснащенных специальной многоступенчатой системой очистки воздуха, </w:t>
      </w:r>
      <w:proofErr w:type="spellStart"/>
      <w:r>
        <w:t>ламинарами</w:t>
      </w:r>
      <w:proofErr w:type="spellEnd"/>
      <w:r>
        <w:t xml:space="preserve"> и </w:t>
      </w:r>
      <w:r>
        <w:rPr>
          <w:lang w:val="en-US"/>
        </w:rPr>
        <w:t>HEPA</w:t>
      </w:r>
      <w:r w:rsidRPr="00621C75">
        <w:t>-</w:t>
      </w:r>
      <w:r>
        <w:t>фильтрами, закуплено новое оборудование, расширен штат медицинского персонала.</w:t>
      </w:r>
    </w:p>
    <w:p w:rsidR="00C40085" w:rsidRDefault="00C40085" w:rsidP="00C40085">
      <w:pPr>
        <w:ind w:firstLine="708"/>
        <w:jc w:val="both"/>
      </w:pPr>
      <w:r>
        <w:t xml:space="preserve">В реконструкцию отделения онкологии, гематологии и трансплантации костного мозга инвестировано 80 млн. руб. </w:t>
      </w:r>
    </w:p>
    <w:p w:rsidR="00C40085" w:rsidRPr="009D253F" w:rsidRDefault="00C40085" w:rsidP="00C40085">
      <w:pPr>
        <w:jc w:val="both"/>
      </w:pPr>
      <w:r>
        <w:tab/>
        <w:t xml:space="preserve">Уже в 2016 году планируется проводить все виды трансплантаций костного мозга: </w:t>
      </w:r>
      <w:proofErr w:type="spellStart"/>
      <w:r>
        <w:t>аутологичные</w:t>
      </w:r>
      <w:proofErr w:type="spellEnd"/>
      <w:r>
        <w:t>, аллогенные родственные и неродственные,</w:t>
      </w:r>
      <w:r w:rsidRPr="009D253F">
        <w:t xml:space="preserve"> увеличив количество операций почти в 1,5 раза - до 150 в год.</w:t>
      </w:r>
    </w:p>
    <w:p w:rsidR="00C40085" w:rsidRDefault="00C40085" w:rsidP="00C40085">
      <w:pPr>
        <w:jc w:val="both"/>
      </w:pPr>
      <w:r>
        <w:tab/>
        <w:t xml:space="preserve">Инфраструктура Института (диагностическая, хирургическая, радиологическая службы, отделение переливания крови) </w:t>
      </w:r>
      <w:r w:rsidRPr="009D253F">
        <w:t>позвол</w:t>
      </w:r>
      <w:r w:rsidR="009D253F" w:rsidRPr="009D253F">
        <w:t>яет</w:t>
      </w:r>
      <w:r>
        <w:t xml:space="preserve"> создать на его базе специализированный гематологический центр, способный решать клинические задачи любой сложности в области гематологии и трансплантации костного мозга на самом современном международном уровне.</w:t>
      </w:r>
    </w:p>
    <w:p w:rsidR="00C40085" w:rsidRDefault="00C40085" w:rsidP="00C40085">
      <w:pPr>
        <w:jc w:val="both"/>
      </w:pPr>
      <w:r>
        <w:tab/>
        <w:t xml:space="preserve">Таким образом, НИИ онкологии им. Н.Н. Петрова становится единственным специализированным медицинским учреждением Северо-Западного региона, обладающим всем комплексом возможностей для лечения онкологических пациентов, как взрослых, так и детей. </w:t>
      </w:r>
    </w:p>
    <w:p w:rsidR="00C40085" w:rsidRDefault="00C40085" w:rsidP="00C40085">
      <w:pPr>
        <w:jc w:val="both"/>
        <w:rPr>
          <w:b/>
          <w:bCs/>
        </w:rPr>
      </w:pPr>
      <w:r>
        <w:rPr>
          <w:b/>
          <w:bCs/>
        </w:rPr>
        <w:t>Информационная справка:</w:t>
      </w:r>
    </w:p>
    <w:p w:rsidR="00C40085" w:rsidRDefault="00C40085" w:rsidP="00C40085">
      <w:pPr>
        <w:jc w:val="both"/>
      </w:pPr>
      <w:r>
        <w:rPr>
          <w:b/>
          <w:bCs/>
        </w:rPr>
        <w:tab/>
      </w:r>
      <w:r>
        <w:t>Трансплантация гемопоэтических стволовых клеток (ТГСК) является современным и эффективным методом лечения целого ряда онкологических и гематологических заболеваний. На сегодняшний день около 500 жителей СЗФО (взрослых и детей) ежегодно нуждаются в проведении данного лечения. При этом выполняется не более половины от требуемого количества операций.</w:t>
      </w:r>
    </w:p>
    <w:p w:rsidR="00C40085" w:rsidRDefault="00C40085" w:rsidP="00C40085">
      <w:pPr>
        <w:jc w:val="both"/>
      </w:pPr>
      <w:r>
        <w:tab/>
        <w:t>В настоящее время в России действует всего 18 центров по трансплантации костного мозга из них 14 расположены в Москве и Санкт-Петербурге.</w:t>
      </w:r>
    </w:p>
    <w:p w:rsidR="00C40085" w:rsidRDefault="00C40085" w:rsidP="00C40085">
      <w:pPr>
        <w:jc w:val="both"/>
      </w:pPr>
      <w:r>
        <w:tab/>
        <w:t xml:space="preserve">Общее количество трансплантацией костного мозга в России ежегодно не превышает 1000 операций. Это удовлетворяет около 10% от общей потребности в данном виде высокотехнологичной медицинской помощи. Для сравнения, в России производится 6 трансплантаций на 1 млн человек, тогда как в Германии 70 на 1 млн. человек. </w:t>
      </w:r>
    </w:p>
    <w:p w:rsidR="00C7149F" w:rsidRPr="00E14E07" w:rsidRDefault="00C7149F" w:rsidP="00C44D6C">
      <w:pPr>
        <w:rPr>
          <w:b/>
          <w:i/>
          <w:sz w:val="20"/>
          <w:szCs w:val="20"/>
        </w:rPr>
      </w:pPr>
      <w:r w:rsidRPr="007319DD">
        <w:rPr>
          <w:b/>
          <w:i/>
          <w:sz w:val="20"/>
          <w:szCs w:val="20"/>
        </w:rPr>
        <w:t xml:space="preserve">Дополнительная информация: Ирина </w:t>
      </w:r>
      <w:proofErr w:type="spellStart"/>
      <w:r w:rsidRPr="007319DD">
        <w:rPr>
          <w:b/>
          <w:i/>
          <w:sz w:val="20"/>
          <w:szCs w:val="20"/>
        </w:rPr>
        <w:t>Столярова</w:t>
      </w:r>
      <w:proofErr w:type="spellEnd"/>
      <w:r w:rsidRPr="007319DD">
        <w:rPr>
          <w:b/>
          <w:i/>
          <w:sz w:val="20"/>
          <w:szCs w:val="20"/>
        </w:rPr>
        <w:t xml:space="preserve">, пресс-секретарь </w:t>
      </w:r>
      <w:r w:rsidRPr="007319DD">
        <w:rPr>
          <w:b/>
          <w:bCs/>
          <w:i/>
          <w:iCs/>
          <w:sz w:val="20"/>
          <w:szCs w:val="20"/>
        </w:rPr>
        <w:t>ФГБУ «НИИ онкологии им. Н.Н. Пе</w:t>
      </w:r>
      <w:r>
        <w:rPr>
          <w:b/>
          <w:bCs/>
          <w:i/>
          <w:iCs/>
          <w:sz w:val="20"/>
          <w:szCs w:val="20"/>
        </w:rPr>
        <w:t>т</w:t>
      </w:r>
      <w:r w:rsidRPr="007319DD">
        <w:rPr>
          <w:b/>
          <w:bCs/>
          <w:i/>
          <w:iCs/>
          <w:sz w:val="20"/>
          <w:szCs w:val="20"/>
        </w:rPr>
        <w:t>рова» т</w:t>
      </w:r>
      <w:r w:rsidRPr="007319DD">
        <w:rPr>
          <w:b/>
          <w:i/>
          <w:sz w:val="20"/>
          <w:szCs w:val="20"/>
        </w:rPr>
        <w:t xml:space="preserve">ел.: 8-903-093-43-94, </w:t>
      </w:r>
      <w:r>
        <w:rPr>
          <w:b/>
          <w:i/>
          <w:sz w:val="20"/>
          <w:szCs w:val="20"/>
        </w:rPr>
        <w:t>е</w:t>
      </w:r>
      <w:r w:rsidRPr="007B0A78">
        <w:rPr>
          <w:b/>
          <w:i/>
          <w:sz w:val="20"/>
          <w:szCs w:val="20"/>
        </w:rPr>
        <w:t>-</w:t>
      </w:r>
      <w:r w:rsidRPr="007319DD">
        <w:rPr>
          <w:b/>
          <w:i/>
          <w:sz w:val="20"/>
          <w:szCs w:val="20"/>
          <w:lang w:val="en-US"/>
        </w:rPr>
        <w:t>mail</w:t>
      </w:r>
      <w:r w:rsidRPr="007319DD">
        <w:rPr>
          <w:b/>
          <w:i/>
          <w:sz w:val="20"/>
          <w:szCs w:val="20"/>
        </w:rPr>
        <w:t>:</w:t>
      </w:r>
      <w:r w:rsidRPr="007319DD">
        <w:rPr>
          <w:b/>
          <w:i/>
          <w:sz w:val="20"/>
          <w:szCs w:val="20"/>
          <w:lang w:val="en-US"/>
        </w:rPr>
        <w:t>terminal</w:t>
      </w:r>
      <w:r w:rsidRPr="007B0A78">
        <w:rPr>
          <w:b/>
          <w:i/>
          <w:sz w:val="20"/>
          <w:szCs w:val="20"/>
        </w:rPr>
        <w:t>272@</w:t>
      </w:r>
      <w:r w:rsidRPr="007319DD">
        <w:rPr>
          <w:b/>
          <w:i/>
          <w:sz w:val="20"/>
          <w:szCs w:val="20"/>
          <w:lang w:val="en-US"/>
        </w:rPr>
        <w:t>mail</w:t>
      </w:r>
      <w:r w:rsidRPr="007B0A78">
        <w:rPr>
          <w:b/>
          <w:i/>
          <w:sz w:val="20"/>
          <w:szCs w:val="20"/>
        </w:rPr>
        <w:t>.</w:t>
      </w:r>
      <w:proofErr w:type="spellStart"/>
      <w:r w:rsidRPr="007319DD">
        <w:rPr>
          <w:b/>
          <w:i/>
          <w:sz w:val="20"/>
          <w:szCs w:val="20"/>
          <w:lang w:val="en-US"/>
        </w:rPr>
        <w:t>ru</w:t>
      </w:r>
      <w:proofErr w:type="spellEnd"/>
      <w:r>
        <w:rPr>
          <w:b/>
          <w:i/>
          <w:sz w:val="20"/>
          <w:szCs w:val="20"/>
        </w:rPr>
        <w:t xml:space="preserve">, </w:t>
      </w:r>
      <w:proofErr w:type="gramStart"/>
      <w:r>
        <w:rPr>
          <w:b/>
          <w:i/>
          <w:sz w:val="20"/>
          <w:szCs w:val="20"/>
          <w:lang w:val="en-US"/>
        </w:rPr>
        <w:t>skype</w:t>
      </w:r>
      <w:r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  <w:lang w:val="en-US"/>
        </w:rPr>
        <w:t>Irina</w:t>
      </w:r>
      <w:r w:rsidRPr="00E14E07">
        <w:rPr>
          <w:b/>
          <w:i/>
          <w:sz w:val="20"/>
          <w:szCs w:val="20"/>
        </w:rPr>
        <w:t>.</w:t>
      </w:r>
      <w:proofErr w:type="spellStart"/>
      <w:r>
        <w:rPr>
          <w:b/>
          <w:i/>
          <w:sz w:val="20"/>
          <w:szCs w:val="20"/>
          <w:lang w:val="en-US"/>
        </w:rPr>
        <w:t>Stolyarova</w:t>
      </w:r>
      <w:proofErr w:type="spellEnd"/>
      <w:proofErr w:type="gramEnd"/>
    </w:p>
    <w:sectPr w:rsidR="00C7149F" w:rsidRPr="00E14E07" w:rsidSect="00366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C250B"/>
    <w:multiLevelType w:val="hybridMultilevel"/>
    <w:tmpl w:val="99FE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76BF"/>
    <w:multiLevelType w:val="hybridMultilevel"/>
    <w:tmpl w:val="B3CC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4C3"/>
    <w:multiLevelType w:val="hybridMultilevel"/>
    <w:tmpl w:val="E19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7120"/>
    <w:multiLevelType w:val="hybridMultilevel"/>
    <w:tmpl w:val="99AA9AB0"/>
    <w:lvl w:ilvl="0" w:tplc="BDFC1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0"/>
    <w:rsid w:val="000179E7"/>
    <w:rsid w:val="000219BC"/>
    <w:rsid w:val="000315A6"/>
    <w:rsid w:val="00077C22"/>
    <w:rsid w:val="000C5EF9"/>
    <w:rsid w:val="000D4FE2"/>
    <w:rsid w:val="00140600"/>
    <w:rsid w:val="002751F0"/>
    <w:rsid w:val="002F5362"/>
    <w:rsid w:val="00322D52"/>
    <w:rsid w:val="003663EE"/>
    <w:rsid w:val="003A3421"/>
    <w:rsid w:val="003A5E4B"/>
    <w:rsid w:val="003A609C"/>
    <w:rsid w:val="004402FC"/>
    <w:rsid w:val="004439A4"/>
    <w:rsid w:val="004976F9"/>
    <w:rsid w:val="004F0406"/>
    <w:rsid w:val="00525221"/>
    <w:rsid w:val="005625BE"/>
    <w:rsid w:val="005907A8"/>
    <w:rsid w:val="005D69B0"/>
    <w:rsid w:val="005E162C"/>
    <w:rsid w:val="005F3A25"/>
    <w:rsid w:val="00667F6D"/>
    <w:rsid w:val="00686332"/>
    <w:rsid w:val="006B620C"/>
    <w:rsid w:val="0074314A"/>
    <w:rsid w:val="008237C5"/>
    <w:rsid w:val="008656AD"/>
    <w:rsid w:val="009038E4"/>
    <w:rsid w:val="00985098"/>
    <w:rsid w:val="009D253F"/>
    <w:rsid w:val="009E1296"/>
    <w:rsid w:val="009F7198"/>
    <w:rsid w:val="00A40E6B"/>
    <w:rsid w:val="00A7074C"/>
    <w:rsid w:val="00AC433E"/>
    <w:rsid w:val="00B709A8"/>
    <w:rsid w:val="00B80C62"/>
    <w:rsid w:val="00BD21DB"/>
    <w:rsid w:val="00BD79A3"/>
    <w:rsid w:val="00C40085"/>
    <w:rsid w:val="00C44D6C"/>
    <w:rsid w:val="00C7149F"/>
    <w:rsid w:val="00CA2758"/>
    <w:rsid w:val="00CC7AA6"/>
    <w:rsid w:val="00CE6299"/>
    <w:rsid w:val="00D10CE0"/>
    <w:rsid w:val="00D12B9D"/>
    <w:rsid w:val="00D21CC5"/>
    <w:rsid w:val="00D37051"/>
    <w:rsid w:val="00D56800"/>
    <w:rsid w:val="00E36945"/>
    <w:rsid w:val="00E46545"/>
    <w:rsid w:val="00E644A3"/>
    <w:rsid w:val="00EA2AE0"/>
    <w:rsid w:val="00EB73A2"/>
    <w:rsid w:val="00EC0377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5000-74F1-43FC-9188-E1397845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00"/>
    <w:pPr>
      <w:ind w:left="720"/>
      <w:contextualSpacing/>
    </w:pPr>
  </w:style>
  <w:style w:type="paragraph" w:styleId="a4">
    <w:name w:val="Body Text"/>
    <w:basedOn w:val="a"/>
    <w:link w:val="a5"/>
    <w:rsid w:val="000D4F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8"/>
      <w:szCs w:val="48"/>
      <w:lang w:val="x-none" w:eastAsia="zh-CN"/>
    </w:rPr>
  </w:style>
  <w:style w:type="character" w:customStyle="1" w:styleId="a5">
    <w:name w:val="Основной текст Знак"/>
    <w:basedOn w:val="a0"/>
    <w:link w:val="a4"/>
    <w:rsid w:val="000D4FE2"/>
    <w:rPr>
      <w:rFonts w:ascii="Times New Roman" w:eastAsia="Times New Roman" w:hAnsi="Times New Roman" w:cs="Times New Roman"/>
      <w:i/>
      <w:iCs/>
      <w:sz w:val="48"/>
      <w:szCs w:val="48"/>
      <w:lang w:val="x-none" w:eastAsia="zh-CN"/>
    </w:rPr>
  </w:style>
  <w:style w:type="character" w:customStyle="1" w:styleId="hps">
    <w:name w:val="hps"/>
    <w:basedOn w:val="a0"/>
    <w:rsid w:val="005F3A25"/>
  </w:style>
  <w:style w:type="table" w:styleId="a6">
    <w:name w:val="Table Grid"/>
    <w:basedOn w:val="a1"/>
    <w:uiPriority w:val="59"/>
    <w:rsid w:val="003663E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806124</dc:creator>
  <cp:keywords/>
  <dc:description/>
  <cp:lastModifiedBy>806124</cp:lastModifiedBy>
  <cp:revision>5</cp:revision>
  <dcterms:created xsi:type="dcterms:W3CDTF">2016-07-06T20:47:00Z</dcterms:created>
  <dcterms:modified xsi:type="dcterms:W3CDTF">2016-07-07T06:30:00Z</dcterms:modified>
</cp:coreProperties>
</file>