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23.10.2020 № 05-07/1090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30.10.2020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66B3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Ритуксимаб</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18.12.2020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11.12.2020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01.12.2021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108" w:type="dxa"/>
        <w:tblLayout w:type="fixed"/>
        <w:tblLook w:val="04A0" w:firstRow="1" w:lastRow="0" w:firstColumn="1" w:lastColumn="0" w:noHBand="0" w:noVBand="1"/>
      </w:tblPr>
      <w:tblGrid>
        <w:gridCol w:w="407"/>
        <w:gridCol w:w="564"/>
        <w:gridCol w:w="945"/>
        <w:gridCol w:w="735"/>
        <w:gridCol w:w="2139"/>
        <w:gridCol w:w="205"/>
        <w:gridCol w:w="919"/>
        <w:gridCol w:w="1063"/>
        <w:gridCol w:w="1562"/>
        <w:gridCol w:w="748"/>
        <w:gridCol w:w="827"/>
        <w:gridCol w:w="1063"/>
        <w:gridCol w:w="1168"/>
        <w:gridCol w:w="945"/>
        <w:gridCol w:w="1239"/>
        <w:gridCol w:w="6"/>
      </w:tblGrid>
      <w:tr w:rsidR="00F1546B" w:rsidRPr="00F1546B" w:rsidTr="0050356D">
        <w:trPr>
          <w:gridAfter w:val="1"/>
          <w:wAfter w:w="6" w:type="dxa"/>
          <w:trHeight w:val="60"/>
        </w:trPr>
        <w:tc>
          <w:tcPr>
            <w:tcW w:w="407" w:type="dxa"/>
            <w:shd w:val="clear" w:color="FFFFFF" w:fill="auto"/>
            <w:vAlign w:val="bottom"/>
          </w:tcPr>
          <w:p w:rsidR="00F1546B" w:rsidRPr="00F1546B" w:rsidRDefault="00F1546B" w:rsidP="00F1546B">
            <w:pPr>
              <w:rPr>
                <w:rFonts w:cs="Times New Roman"/>
                <w:szCs w:val="16"/>
              </w:rPr>
            </w:pPr>
          </w:p>
        </w:tc>
        <w:tc>
          <w:tcPr>
            <w:tcW w:w="564" w:type="dxa"/>
            <w:shd w:val="clear" w:color="FFFFFF" w:fill="auto"/>
            <w:vAlign w:val="bottom"/>
          </w:tcPr>
          <w:p w:rsidR="00F1546B" w:rsidRPr="00F1546B" w:rsidRDefault="00F1546B" w:rsidP="00F1546B">
            <w:pPr>
              <w:rPr>
                <w:rFonts w:cs="Times New Roman"/>
                <w:szCs w:val="16"/>
              </w:rPr>
            </w:pPr>
          </w:p>
        </w:tc>
        <w:tc>
          <w:tcPr>
            <w:tcW w:w="945" w:type="dxa"/>
            <w:shd w:val="clear" w:color="FFFFFF" w:fill="auto"/>
            <w:vAlign w:val="bottom"/>
          </w:tcPr>
          <w:p w:rsidR="00F1546B" w:rsidRPr="00F1546B" w:rsidRDefault="00F1546B" w:rsidP="00F1546B">
            <w:pPr>
              <w:rPr>
                <w:rFonts w:cs="Times New Roman"/>
                <w:szCs w:val="16"/>
              </w:rPr>
            </w:pPr>
          </w:p>
        </w:tc>
        <w:tc>
          <w:tcPr>
            <w:tcW w:w="735" w:type="dxa"/>
            <w:shd w:val="clear" w:color="FFFFFF" w:fill="auto"/>
            <w:vAlign w:val="bottom"/>
          </w:tcPr>
          <w:p w:rsidR="00F1546B" w:rsidRPr="00F1546B" w:rsidRDefault="00F1546B" w:rsidP="00F1546B">
            <w:pPr>
              <w:rPr>
                <w:rFonts w:cs="Times New Roman"/>
                <w:szCs w:val="16"/>
              </w:rPr>
            </w:pPr>
          </w:p>
        </w:tc>
        <w:tc>
          <w:tcPr>
            <w:tcW w:w="2139" w:type="dxa"/>
            <w:shd w:val="clear" w:color="FFFFFF" w:fill="auto"/>
            <w:vAlign w:val="bottom"/>
          </w:tcPr>
          <w:p w:rsidR="00F1546B" w:rsidRPr="00F1546B" w:rsidRDefault="00F1546B" w:rsidP="00F1546B">
            <w:pPr>
              <w:rPr>
                <w:rFonts w:cs="Times New Roman"/>
                <w:szCs w:val="16"/>
              </w:rPr>
            </w:pPr>
          </w:p>
        </w:tc>
        <w:tc>
          <w:tcPr>
            <w:tcW w:w="205" w:type="dxa"/>
            <w:shd w:val="clear" w:color="FFFFFF" w:fill="auto"/>
            <w:vAlign w:val="bottom"/>
          </w:tcPr>
          <w:p w:rsidR="00F1546B" w:rsidRPr="00F1546B" w:rsidRDefault="00F1546B" w:rsidP="00F1546B">
            <w:pPr>
              <w:rPr>
                <w:rFonts w:cs="Times New Roman"/>
                <w:szCs w:val="16"/>
              </w:rPr>
            </w:pPr>
          </w:p>
        </w:tc>
        <w:tc>
          <w:tcPr>
            <w:tcW w:w="919" w:type="dxa"/>
            <w:shd w:val="clear" w:color="FFFFFF" w:fill="auto"/>
            <w:vAlign w:val="bottom"/>
          </w:tcPr>
          <w:p w:rsidR="00F1546B" w:rsidRPr="00F1546B" w:rsidRDefault="00F1546B" w:rsidP="00F1546B">
            <w:pPr>
              <w:rPr>
                <w:rFonts w:cs="Times New Roman"/>
                <w:szCs w:val="16"/>
              </w:rPr>
            </w:pPr>
          </w:p>
        </w:tc>
        <w:tc>
          <w:tcPr>
            <w:tcW w:w="1063" w:type="dxa"/>
            <w:shd w:val="clear" w:color="FFFFFF" w:fill="auto"/>
            <w:vAlign w:val="bottom"/>
          </w:tcPr>
          <w:p w:rsidR="00F1546B" w:rsidRPr="00F1546B" w:rsidRDefault="00F1546B" w:rsidP="00F1546B">
            <w:pPr>
              <w:rPr>
                <w:rFonts w:cs="Times New Roman"/>
                <w:szCs w:val="16"/>
              </w:rPr>
            </w:pPr>
          </w:p>
        </w:tc>
        <w:tc>
          <w:tcPr>
            <w:tcW w:w="1562" w:type="dxa"/>
            <w:shd w:val="clear" w:color="FFFFFF" w:fill="auto"/>
            <w:vAlign w:val="bottom"/>
          </w:tcPr>
          <w:p w:rsidR="00F1546B" w:rsidRPr="00F1546B" w:rsidRDefault="00F1546B" w:rsidP="00F1546B">
            <w:pPr>
              <w:rPr>
                <w:rFonts w:cs="Times New Roman"/>
                <w:szCs w:val="16"/>
              </w:rPr>
            </w:pPr>
          </w:p>
        </w:tc>
        <w:tc>
          <w:tcPr>
            <w:tcW w:w="748" w:type="dxa"/>
            <w:shd w:val="clear" w:color="FFFFFF" w:fill="auto"/>
            <w:vAlign w:val="bottom"/>
          </w:tcPr>
          <w:p w:rsidR="00F1546B" w:rsidRPr="00F1546B" w:rsidRDefault="00F1546B" w:rsidP="00F1546B">
            <w:pPr>
              <w:rPr>
                <w:rFonts w:cs="Times New Roman"/>
                <w:szCs w:val="16"/>
              </w:rPr>
            </w:pPr>
          </w:p>
        </w:tc>
        <w:tc>
          <w:tcPr>
            <w:tcW w:w="827" w:type="dxa"/>
            <w:shd w:val="clear" w:color="FFFFFF" w:fill="auto"/>
            <w:vAlign w:val="bottom"/>
          </w:tcPr>
          <w:p w:rsidR="00F1546B" w:rsidRPr="00F1546B" w:rsidRDefault="00F1546B" w:rsidP="00F1546B">
            <w:pPr>
              <w:rPr>
                <w:rFonts w:cs="Times New Roman"/>
                <w:szCs w:val="16"/>
              </w:rPr>
            </w:pPr>
          </w:p>
        </w:tc>
        <w:tc>
          <w:tcPr>
            <w:tcW w:w="1063" w:type="dxa"/>
            <w:shd w:val="clear" w:color="FFFFFF" w:fill="auto"/>
            <w:vAlign w:val="bottom"/>
          </w:tcPr>
          <w:p w:rsidR="00F1546B" w:rsidRPr="00F1546B" w:rsidRDefault="00F1546B" w:rsidP="00F1546B">
            <w:pPr>
              <w:rPr>
                <w:rFonts w:cs="Times New Roman"/>
                <w:szCs w:val="16"/>
              </w:rPr>
            </w:pPr>
          </w:p>
        </w:tc>
        <w:tc>
          <w:tcPr>
            <w:tcW w:w="1168" w:type="dxa"/>
            <w:shd w:val="clear" w:color="FFFFFF" w:fill="auto"/>
            <w:vAlign w:val="bottom"/>
          </w:tcPr>
          <w:p w:rsidR="00F1546B" w:rsidRPr="00F1546B" w:rsidRDefault="00F1546B" w:rsidP="00F1546B">
            <w:pPr>
              <w:rPr>
                <w:rFonts w:cs="Times New Roman"/>
                <w:szCs w:val="16"/>
              </w:rPr>
            </w:pPr>
          </w:p>
        </w:tc>
        <w:tc>
          <w:tcPr>
            <w:tcW w:w="945" w:type="dxa"/>
            <w:shd w:val="clear" w:color="FFFFFF" w:fill="auto"/>
            <w:vAlign w:val="bottom"/>
          </w:tcPr>
          <w:p w:rsidR="00F1546B" w:rsidRPr="00F1546B" w:rsidRDefault="00F1546B" w:rsidP="00F1546B">
            <w:pPr>
              <w:rPr>
                <w:rFonts w:cs="Times New Roman"/>
                <w:szCs w:val="16"/>
              </w:rPr>
            </w:pPr>
          </w:p>
        </w:tc>
        <w:tc>
          <w:tcPr>
            <w:tcW w:w="1239" w:type="dxa"/>
            <w:shd w:val="clear" w:color="FFFFFF" w:fill="auto"/>
            <w:vAlign w:val="bottom"/>
          </w:tcPr>
          <w:p w:rsidR="00F1546B" w:rsidRPr="00F1546B" w:rsidRDefault="00F1546B" w:rsidP="00F1546B">
            <w:pPr>
              <w:rPr>
                <w:rFonts w:cs="Times New Roman"/>
                <w:szCs w:val="16"/>
              </w:rPr>
            </w:pPr>
          </w:p>
        </w:tc>
      </w:tr>
      <w:tr w:rsidR="00F1546B" w:rsidRPr="00F1546B" w:rsidTr="0050356D">
        <w:trPr>
          <w:trHeight w:val="60"/>
        </w:trPr>
        <w:tc>
          <w:tcPr>
            <w:tcW w:w="407" w:type="dxa"/>
            <w:shd w:val="clear" w:color="FFFFFF" w:fill="auto"/>
            <w:vAlign w:val="bottom"/>
          </w:tcPr>
          <w:p w:rsidR="00F1546B" w:rsidRPr="00F1546B" w:rsidRDefault="00F1546B" w:rsidP="00F1546B">
            <w:pPr>
              <w:jc w:val="center"/>
              <w:rPr>
                <w:rFonts w:ascii="Times New Roman" w:hAnsi="Times New Roman" w:cs="Times New Roman"/>
                <w:b/>
              </w:rPr>
            </w:pPr>
          </w:p>
        </w:tc>
        <w:tc>
          <w:tcPr>
            <w:tcW w:w="14128" w:type="dxa"/>
            <w:gridSpan w:val="15"/>
            <w:shd w:val="clear" w:color="FFFFFF" w:fill="auto"/>
            <w:vAlign w:val="bottom"/>
          </w:tcPr>
          <w:p w:rsidR="00F1546B" w:rsidRPr="00F1546B" w:rsidRDefault="00F1546B" w:rsidP="00F1546B">
            <w:pPr>
              <w:jc w:val="center"/>
              <w:rPr>
                <w:rFonts w:ascii="Times New Roman" w:hAnsi="Times New Roman" w:cs="Times New Roman"/>
                <w:b/>
              </w:rPr>
            </w:pPr>
          </w:p>
        </w:tc>
      </w:tr>
      <w:tr w:rsidR="00F1546B" w:rsidRPr="00F1546B" w:rsidTr="0050356D">
        <w:trPr>
          <w:gridAfter w:val="1"/>
          <w:wAfter w:w="6" w:type="dxa"/>
          <w:trHeight w:val="60"/>
        </w:trPr>
        <w:tc>
          <w:tcPr>
            <w:tcW w:w="407" w:type="dxa"/>
            <w:shd w:val="clear" w:color="FFFFFF" w:fill="auto"/>
            <w:vAlign w:val="bottom"/>
          </w:tcPr>
          <w:p w:rsidR="00F1546B" w:rsidRPr="00F1546B" w:rsidRDefault="00F1546B" w:rsidP="00F1546B">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Материал</w:t>
            </w:r>
          </w:p>
        </w:tc>
        <w:tc>
          <w:tcPr>
            <w:tcW w:w="2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Наименование страны происхождения</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Единица измерения по ЕСКЛП (Потребительская единица)</w:t>
            </w:r>
          </w:p>
        </w:tc>
        <w:tc>
          <w:tcPr>
            <w:tcW w:w="1239" w:type="dxa"/>
            <w:tcBorders>
              <w:top w:val="single" w:sz="5" w:space="0" w:color="auto"/>
              <w:left w:val="single" w:sz="5" w:space="0" w:color="auto"/>
              <w:bottom w:val="single" w:sz="5" w:space="0" w:color="auto"/>
              <w:right w:val="single" w:sz="5" w:space="0" w:color="auto"/>
            </w:tcBorders>
            <w:shd w:val="clear" w:color="FFFFFF" w:fill="FFFFFF"/>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Количество потребительских единиц</w:t>
            </w:r>
          </w:p>
        </w:tc>
      </w:tr>
      <w:tr w:rsidR="00F1546B" w:rsidRPr="00F1546B" w:rsidTr="0050356D">
        <w:trPr>
          <w:gridAfter w:val="1"/>
          <w:wAfter w:w="6" w:type="dxa"/>
          <w:trHeight w:val="60"/>
        </w:trPr>
        <w:tc>
          <w:tcPr>
            <w:tcW w:w="407" w:type="dxa"/>
            <w:shd w:val="clear" w:color="FFFFFF" w:fill="auto"/>
            <w:vAlign w:val="bottom"/>
          </w:tcPr>
          <w:p w:rsidR="00F1546B" w:rsidRPr="00F1546B" w:rsidRDefault="00F1546B" w:rsidP="00F1546B">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Ритуксимаб</w:t>
            </w:r>
          </w:p>
        </w:tc>
        <w:tc>
          <w:tcPr>
            <w:tcW w:w="2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rPr>
                <w:rFonts w:ascii="Times New Roman" w:hAnsi="Times New Roman" w:cs="Times New Roman"/>
              </w:rPr>
            </w:pPr>
            <w:r w:rsidRPr="00F1546B">
              <w:rPr>
                <w:rFonts w:ascii="Times New Roman" w:hAnsi="Times New Roman" w:cs="Times New Roman"/>
              </w:rPr>
              <w:t>МНН: РИТУКСИМАБ</w:t>
            </w:r>
            <w:r w:rsidRPr="00F1546B">
              <w:rPr>
                <w:rFonts w:ascii="Times New Roman" w:hAnsi="Times New Roman" w:cs="Times New Roman"/>
              </w:rPr>
              <w:br/>
              <w:t>Лекарственная форма: концентрат для приготовления раствора для инфузий</w:t>
            </w:r>
            <w:r w:rsidRPr="00F1546B">
              <w:rPr>
                <w:rFonts w:ascii="Times New Roman" w:hAnsi="Times New Roman" w:cs="Times New Roman"/>
              </w:rPr>
              <w:br/>
              <w:t>Дозировка: 10 мг/мл</w:t>
            </w:r>
          </w:p>
          <w:p w:rsidR="00F1546B" w:rsidRPr="00F1546B" w:rsidRDefault="00F1546B" w:rsidP="00F1546B">
            <w:pPr>
              <w:rPr>
                <w:rFonts w:ascii="Times New Roman" w:hAnsi="Times New Roman" w:cs="Times New Roman"/>
              </w:rPr>
            </w:pPr>
            <w:r w:rsidRPr="00F1546B">
              <w:rPr>
                <w:rFonts w:ascii="Times New Roman" w:hAnsi="Times New Roman" w:cs="Times New Roman"/>
              </w:rPr>
              <w:t>Количество лекарственной формы в первичной упаковке: 50 мл</w:t>
            </w:r>
            <w:r w:rsidRPr="00F1546B">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F1546B" w:rsidRPr="00F1546B" w:rsidRDefault="00F1546B" w:rsidP="00F1546B">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21.20.10.211-000046-1-00152-0000000000000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150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F1546B" w:rsidRPr="00F1546B" w:rsidRDefault="00F1546B" w:rsidP="00F1546B">
            <w:pPr>
              <w:jc w:val="center"/>
              <w:rPr>
                <w:rFonts w:ascii="Times New Roman" w:hAnsi="Times New Roman" w:cs="Times New Roman"/>
              </w:rPr>
            </w:pPr>
            <w:r w:rsidRPr="00F1546B">
              <w:rPr>
                <w:rFonts w:ascii="Times New Roman" w:hAnsi="Times New Roman" w:cs="Times New Roman"/>
              </w:rPr>
              <w:t>7 500</w:t>
            </w:r>
          </w:p>
        </w:tc>
      </w:tr>
      <w:tr w:rsidR="00F1546B" w:rsidRPr="00F1546B" w:rsidTr="0050356D">
        <w:trPr>
          <w:gridAfter w:val="1"/>
          <w:wAfter w:w="6" w:type="dxa"/>
          <w:trHeight w:val="60"/>
        </w:trPr>
        <w:tc>
          <w:tcPr>
            <w:tcW w:w="407" w:type="dxa"/>
            <w:shd w:val="clear" w:color="FFFFFF" w:fill="auto"/>
            <w:vAlign w:val="bottom"/>
          </w:tcPr>
          <w:p w:rsidR="00F1546B" w:rsidRPr="00F1546B" w:rsidRDefault="00F1546B" w:rsidP="00F1546B">
            <w:pPr>
              <w:rPr>
                <w:rFonts w:cs="Times New Roman"/>
                <w:szCs w:val="16"/>
              </w:rPr>
            </w:pPr>
          </w:p>
        </w:tc>
        <w:tc>
          <w:tcPr>
            <w:tcW w:w="564" w:type="dxa"/>
            <w:shd w:val="clear" w:color="FFFFFF" w:fill="auto"/>
            <w:vAlign w:val="bottom"/>
          </w:tcPr>
          <w:p w:rsidR="00F1546B" w:rsidRPr="00F1546B" w:rsidRDefault="00F1546B" w:rsidP="00F1546B">
            <w:pPr>
              <w:rPr>
                <w:rFonts w:cs="Times New Roman"/>
                <w:szCs w:val="16"/>
              </w:rPr>
            </w:pPr>
          </w:p>
        </w:tc>
        <w:tc>
          <w:tcPr>
            <w:tcW w:w="945" w:type="dxa"/>
            <w:shd w:val="clear" w:color="FFFFFF" w:fill="auto"/>
            <w:vAlign w:val="bottom"/>
          </w:tcPr>
          <w:p w:rsidR="00F1546B" w:rsidRPr="00F1546B" w:rsidRDefault="00F1546B" w:rsidP="00F1546B">
            <w:pPr>
              <w:rPr>
                <w:rFonts w:cs="Times New Roman"/>
                <w:szCs w:val="16"/>
              </w:rPr>
            </w:pPr>
          </w:p>
        </w:tc>
        <w:tc>
          <w:tcPr>
            <w:tcW w:w="735" w:type="dxa"/>
            <w:shd w:val="clear" w:color="FFFFFF" w:fill="auto"/>
            <w:vAlign w:val="bottom"/>
          </w:tcPr>
          <w:p w:rsidR="00F1546B" w:rsidRPr="00F1546B" w:rsidRDefault="00F1546B" w:rsidP="00F1546B">
            <w:pPr>
              <w:rPr>
                <w:rFonts w:cs="Times New Roman"/>
                <w:szCs w:val="16"/>
              </w:rPr>
            </w:pPr>
          </w:p>
        </w:tc>
        <w:tc>
          <w:tcPr>
            <w:tcW w:w="2139" w:type="dxa"/>
            <w:shd w:val="clear" w:color="FFFFFF" w:fill="auto"/>
            <w:vAlign w:val="bottom"/>
          </w:tcPr>
          <w:p w:rsidR="00F1546B" w:rsidRPr="00F1546B" w:rsidRDefault="00F1546B" w:rsidP="00F1546B">
            <w:pPr>
              <w:rPr>
                <w:rFonts w:cs="Times New Roman"/>
                <w:szCs w:val="16"/>
              </w:rPr>
            </w:pPr>
          </w:p>
        </w:tc>
        <w:tc>
          <w:tcPr>
            <w:tcW w:w="205" w:type="dxa"/>
            <w:shd w:val="clear" w:color="FFFFFF" w:fill="auto"/>
            <w:vAlign w:val="bottom"/>
          </w:tcPr>
          <w:p w:rsidR="00F1546B" w:rsidRPr="00F1546B" w:rsidRDefault="00F1546B" w:rsidP="00F1546B">
            <w:pPr>
              <w:rPr>
                <w:rFonts w:cs="Times New Roman"/>
                <w:szCs w:val="16"/>
              </w:rPr>
            </w:pPr>
          </w:p>
        </w:tc>
        <w:tc>
          <w:tcPr>
            <w:tcW w:w="919" w:type="dxa"/>
            <w:shd w:val="clear" w:color="FFFFFF" w:fill="auto"/>
            <w:vAlign w:val="bottom"/>
          </w:tcPr>
          <w:p w:rsidR="00F1546B" w:rsidRPr="00F1546B" w:rsidRDefault="00F1546B" w:rsidP="00F1546B">
            <w:pPr>
              <w:rPr>
                <w:rFonts w:cs="Times New Roman"/>
                <w:szCs w:val="16"/>
              </w:rPr>
            </w:pPr>
          </w:p>
        </w:tc>
        <w:tc>
          <w:tcPr>
            <w:tcW w:w="1063" w:type="dxa"/>
            <w:shd w:val="clear" w:color="FFFFFF" w:fill="auto"/>
            <w:vAlign w:val="bottom"/>
          </w:tcPr>
          <w:p w:rsidR="00F1546B" w:rsidRPr="00F1546B" w:rsidRDefault="00F1546B" w:rsidP="00F1546B">
            <w:pPr>
              <w:rPr>
                <w:rFonts w:cs="Times New Roman"/>
                <w:szCs w:val="16"/>
              </w:rPr>
            </w:pPr>
          </w:p>
        </w:tc>
        <w:tc>
          <w:tcPr>
            <w:tcW w:w="1562" w:type="dxa"/>
            <w:shd w:val="clear" w:color="FFFFFF" w:fill="auto"/>
            <w:vAlign w:val="bottom"/>
          </w:tcPr>
          <w:p w:rsidR="00F1546B" w:rsidRPr="00F1546B" w:rsidRDefault="00F1546B" w:rsidP="00F1546B">
            <w:pPr>
              <w:rPr>
                <w:rFonts w:cs="Times New Roman"/>
                <w:szCs w:val="16"/>
              </w:rPr>
            </w:pPr>
          </w:p>
        </w:tc>
        <w:tc>
          <w:tcPr>
            <w:tcW w:w="748" w:type="dxa"/>
            <w:shd w:val="clear" w:color="FFFFFF" w:fill="auto"/>
            <w:vAlign w:val="bottom"/>
          </w:tcPr>
          <w:p w:rsidR="00F1546B" w:rsidRPr="00F1546B" w:rsidRDefault="00F1546B" w:rsidP="00F1546B">
            <w:pPr>
              <w:rPr>
                <w:rFonts w:cs="Times New Roman"/>
                <w:szCs w:val="16"/>
              </w:rPr>
            </w:pPr>
          </w:p>
        </w:tc>
        <w:tc>
          <w:tcPr>
            <w:tcW w:w="827" w:type="dxa"/>
            <w:shd w:val="clear" w:color="FFFFFF" w:fill="auto"/>
            <w:vAlign w:val="bottom"/>
          </w:tcPr>
          <w:p w:rsidR="00F1546B" w:rsidRPr="00F1546B" w:rsidRDefault="00F1546B" w:rsidP="00F1546B">
            <w:pPr>
              <w:rPr>
                <w:rFonts w:cs="Times New Roman"/>
                <w:szCs w:val="16"/>
              </w:rPr>
            </w:pPr>
          </w:p>
        </w:tc>
        <w:tc>
          <w:tcPr>
            <w:tcW w:w="1063" w:type="dxa"/>
            <w:shd w:val="clear" w:color="FFFFFF" w:fill="auto"/>
            <w:vAlign w:val="bottom"/>
          </w:tcPr>
          <w:p w:rsidR="00F1546B" w:rsidRPr="00F1546B" w:rsidRDefault="00F1546B" w:rsidP="00F1546B">
            <w:pPr>
              <w:rPr>
                <w:rFonts w:cs="Times New Roman"/>
                <w:szCs w:val="16"/>
              </w:rPr>
            </w:pPr>
          </w:p>
        </w:tc>
        <w:tc>
          <w:tcPr>
            <w:tcW w:w="1168" w:type="dxa"/>
            <w:shd w:val="clear" w:color="FFFFFF" w:fill="auto"/>
            <w:vAlign w:val="bottom"/>
          </w:tcPr>
          <w:p w:rsidR="00F1546B" w:rsidRPr="00F1546B" w:rsidRDefault="00F1546B" w:rsidP="00F1546B">
            <w:pPr>
              <w:rPr>
                <w:rFonts w:cs="Times New Roman"/>
                <w:szCs w:val="16"/>
              </w:rPr>
            </w:pPr>
          </w:p>
        </w:tc>
        <w:tc>
          <w:tcPr>
            <w:tcW w:w="945" w:type="dxa"/>
            <w:shd w:val="clear" w:color="FFFFFF" w:fill="auto"/>
            <w:vAlign w:val="bottom"/>
          </w:tcPr>
          <w:p w:rsidR="00F1546B" w:rsidRPr="00F1546B" w:rsidRDefault="00F1546B" w:rsidP="00F1546B">
            <w:pPr>
              <w:rPr>
                <w:rFonts w:cs="Times New Roman"/>
                <w:szCs w:val="16"/>
              </w:rPr>
            </w:pPr>
          </w:p>
        </w:tc>
        <w:tc>
          <w:tcPr>
            <w:tcW w:w="1239" w:type="dxa"/>
            <w:shd w:val="clear" w:color="FFFFFF" w:fill="auto"/>
            <w:vAlign w:val="bottom"/>
          </w:tcPr>
          <w:p w:rsidR="00F1546B" w:rsidRPr="00F1546B" w:rsidRDefault="00F1546B" w:rsidP="00F1546B">
            <w:pPr>
              <w:rPr>
                <w:rFonts w:cs="Times New Roman"/>
                <w:szCs w:val="16"/>
              </w:rPr>
            </w:pPr>
          </w:p>
        </w:tc>
      </w:tr>
      <w:tr w:rsidR="00F1546B" w:rsidRPr="00F1546B" w:rsidTr="0050356D">
        <w:trPr>
          <w:trHeight w:val="60"/>
        </w:trPr>
        <w:tc>
          <w:tcPr>
            <w:tcW w:w="407" w:type="dxa"/>
            <w:shd w:val="clear" w:color="FFFFFF" w:fill="auto"/>
            <w:vAlign w:val="bottom"/>
          </w:tcPr>
          <w:p w:rsidR="00F1546B" w:rsidRPr="00F1546B" w:rsidRDefault="00F1546B" w:rsidP="00F1546B">
            <w:pPr>
              <w:rPr>
                <w:rFonts w:cs="Times New Roman"/>
                <w:szCs w:val="16"/>
              </w:rPr>
            </w:pPr>
          </w:p>
        </w:tc>
        <w:tc>
          <w:tcPr>
            <w:tcW w:w="14128" w:type="dxa"/>
            <w:gridSpan w:val="15"/>
            <w:shd w:val="clear" w:color="FFFFFF" w:fill="auto"/>
            <w:vAlign w:val="bottom"/>
          </w:tcPr>
          <w:p w:rsidR="00F1546B" w:rsidRPr="00F1546B" w:rsidRDefault="00F1546B" w:rsidP="00F1546B">
            <w:pPr>
              <w:jc w:val="both"/>
              <w:rPr>
                <w:rFonts w:ascii="Times New Roman" w:hAnsi="Times New Roman" w:cs="Times New Roman"/>
                <w:sz w:val="24"/>
                <w:szCs w:val="24"/>
              </w:rPr>
            </w:pPr>
            <w:r w:rsidRPr="00F1546B">
              <w:rPr>
                <w:rFonts w:ascii="Times New Roman" w:hAnsi="Times New Roman" w:cs="Times New Roman"/>
                <w:sz w:val="24"/>
                <w:szCs w:val="24"/>
              </w:rPr>
              <w:t>*-первичная упаковка</w:t>
            </w:r>
          </w:p>
          <w:p w:rsidR="00F1546B" w:rsidRPr="00F1546B" w:rsidRDefault="00F1546B" w:rsidP="00F1546B">
            <w:pPr>
              <w:jc w:val="both"/>
              <w:rPr>
                <w:rFonts w:ascii="Times New Roman" w:hAnsi="Times New Roman" w:cs="Times New Roman"/>
                <w:sz w:val="24"/>
                <w:szCs w:val="24"/>
              </w:rPr>
            </w:pPr>
            <w:r w:rsidRPr="00F1546B">
              <w:rPr>
                <w:rFonts w:ascii="Times New Roman" w:hAnsi="Times New Roman" w:cs="Times New Roman"/>
              </w:rPr>
              <w:t>&lt;1&gt;</w:t>
            </w:r>
            <w:r w:rsidRPr="00F1546B">
              <w:rPr>
                <w:rFonts w:ascii="Times New Roman" w:hAnsi="Times New Roman" w:cs="Times New Roman"/>
                <w:sz w:val="24"/>
                <w:szCs w:val="24"/>
              </w:rPr>
              <w:t>-Предъявление требований к количеству лекарственной формы в первичной упаковке обусловлено тем, что такое количество препарата МНН Ритуксимаб, во флаконе оптимально т. к. в клинике осуществляется лечение только пациентов с онкогематологической патологией (лимфомы и лимфолейкоз), для лечения которых ритуксимаб используется в максимальной дозе 375-500 мг/м</w:t>
            </w:r>
            <w:r w:rsidRPr="00F1546B">
              <w:rPr>
                <w:rFonts w:ascii="Times New Roman" w:hAnsi="Times New Roman" w:cs="Times New Roman"/>
                <w:sz w:val="24"/>
                <w:szCs w:val="24"/>
                <w:vertAlign w:val="superscript"/>
              </w:rPr>
              <w:t>2</w:t>
            </w:r>
            <w:r w:rsidRPr="00F1546B">
              <w:rPr>
                <w:rFonts w:ascii="Times New Roman" w:hAnsi="Times New Roman" w:cs="Times New Roman"/>
                <w:sz w:val="24"/>
                <w:szCs w:val="24"/>
              </w:rPr>
              <w:t>, что соответствует 750 – 1000 мг на одного пациента. В клинике не осуществляется лечение пациентов с ревматическими заболеваниями. Использование препарата в требуемом объеме наполнения обусловлено необходимостью рационального использования препарата, экономической целесообразностью, а также требованиями санитарно-эпидемиологической безопасности при приготовлении инфузии потенциально токсичного вещества.</w:t>
            </w:r>
          </w:p>
          <w:p w:rsidR="00F1546B" w:rsidRPr="00F1546B" w:rsidRDefault="00F1546B" w:rsidP="00F1546B">
            <w:pPr>
              <w:jc w:val="both"/>
              <w:rPr>
                <w:rFonts w:ascii="Times New Roman" w:hAnsi="Times New Roman" w:cs="Times New Roman"/>
                <w:sz w:val="24"/>
                <w:szCs w:val="24"/>
              </w:rPr>
            </w:pPr>
          </w:p>
          <w:p w:rsidR="00F1546B" w:rsidRPr="00F1546B" w:rsidRDefault="00F1546B" w:rsidP="00F1546B">
            <w:pPr>
              <w:jc w:val="both"/>
              <w:rPr>
                <w:rFonts w:ascii="Times New Roman" w:hAnsi="Times New Roman" w:cs="Times New Roman"/>
                <w:sz w:val="24"/>
                <w:szCs w:val="24"/>
              </w:rPr>
            </w:pPr>
            <w:r w:rsidRPr="00F1546B">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1546B" w:rsidRPr="00F1546B" w:rsidTr="0050356D">
        <w:trPr>
          <w:trHeight w:val="60"/>
        </w:trPr>
        <w:tc>
          <w:tcPr>
            <w:tcW w:w="407" w:type="dxa"/>
            <w:shd w:val="clear" w:color="FFFFFF" w:fill="auto"/>
            <w:vAlign w:val="bottom"/>
          </w:tcPr>
          <w:p w:rsidR="00F1546B" w:rsidRPr="00F1546B" w:rsidRDefault="00F1546B" w:rsidP="00F1546B">
            <w:pPr>
              <w:rPr>
                <w:rFonts w:cs="Times New Roman"/>
                <w:szCs w:val="16"/>
              </w:rPr>
            </w:pPr>
          </w:p>
        </w:tc>
        <w:tc>
          <w:tcPr>
            <w:tcW w:w="564" w:type="dxa"/>
            <w:shd w:val="clear" w:color="FFFFFF" w:fill="FFFF00"/>
            <w:vAlign w:val="bottom"/>
          </w:tcPr>
          <w:p w:rsidR="00F1546B" w:rsidRPr="00F1546B" w:rsidRDefault="00F1546B" w:rsidP="00F1546B">
            <w:pPr>
              <w:jc w:val="center"/>
              <w:rPr>
                <w:rFonts w:ascii="Times New Roman" w:hAnsi="Times New Roman" w:cs="Times New Roman"/>
                <w:i/>
                <w:sz w:val="24"/>
                <w:szCs w:val="24"/>
              </w:rPr>
            </w:pPr>
            <w:r w:rsidRPr="00F1546B">
              <w:rPr>
                <w:rFonts w:ascii="Times New Roman" w:hAnsi="Times New Roman" w:cs="Times New Roman"/>
                <w:i/>
                <w:sz w:val="24"/>
                <w:szCs w:val="24"/>
              </w:rPr>
              <w:t>*</w:t>
            </w:r>
          </w:p>
        </w:tc>
        <w:tc>
          <w:tcPr>
            <w:tcW w:w="13564" w:type="dxa"/>
            <w:gridSpan w:val="14"/>
            <w:shd w:val="clear" w:color="FFFFFF" w:fill="auto"/>
            <w:vAlign w:val="bottom"/>
          </w:tcPr>
          <w:p w:rsidR="00F1546B" w:rsidRPr="00F1546B" w:rsidRDefault="00F1546B" w:rsidP="00F1546B">
            <w:pPr>
              <w:rPr>
                <w:rFonts w:ascii="Times New Roman" w:hAnsi="Times New Roman" w:cs="Times New Roman"/>
                <w:i/>
                <w:sz w:val="24"/>
                <w:szCs w:val="24"/>
              </w:rPr>
            </w:pPr>
            <w:r w:rsidRPr="00F1546B">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F1546B">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7E" w:rsidRDefault="00EE447E">
      <w:pPr>
        <w:spacing w:after="0" w:line="240" w:lineRule="auto"/>
      </w:pPr>
      <w:r>
        <w:separator/>
      </w:r>
    </w:p>
  </w:endnote>
  <w:endnote w:type="continuationSeparator" w:id="0">
    <w:p w:rsidR="00EE447E" w:rsidRDefault="00EE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6B3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66B3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6B3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6B3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6B3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1546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7E" w:rsidRDefault="00EE447E">
      <w:pPr>
        <w:spacing w:after="0" w:line="240" w:lineRule="auto"/>
      </w:pPr>
      <w:r>
        <w:separator/>
      </w:r>
    </w:p>
  </w:footnote>
  <w:footnote w:type="continuationSeparator" w:id="0">
    <w:p w:rsidR="00EE447E" w:rsidRDefault="00EE447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66B32"/>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47E"/>
    <w:rsid w:val="00EE4AA9"/>
    <w:rsid w:val="00EE6B83"/>
    <w:rsid w:val="00EF093D"/>
    <w:rsid w:val="00F01074"/>
    <w:rsid w:val="00F1546B"/>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F1546B"/>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F1546B"/>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16A0-A7A0-40CB-86E9-FBEAEF6C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2020-10-23T05:29:00Z</dcterms:created>
  <dcterms:modified xsi:type="dcterms:W3CDTF">2020-10-23T05:29:00Z</dcterms:modified>
</cp:coreProperties>
</file>