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05-07/1683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31A1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рабочих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60 рабочих дней с момента подписания контракта. Допускается досрочная поставка партиями</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на момент поставки не менее 12 мепсяцев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990"/>
        <w:gridCol w:w="1167"/>
        <w:gridCol w:w="923"/>
        <w:gridCol w:w="1313"/>
        <w:gridCol w:w="1168"/>
        <w:gridCol w:w="862"/>
        <w:gridCol w:w="1122"/>
        <w:gridCol w:w="1466"/>
        <w:gridCol w:w="501"/>
        <w:gridCol w:w="862"/>
        <w:gridCol w:w="2095"/>
        <w:gridCol w:w="1128"/>
        <w:gridCol w:w="1298"/>
        <w:gridCol w:w="1054"/>
      </w:tblGrid>
      <w:tr w:rsidR="00033FE4" w:rsidRPr="00033FE4" w:rsidTr="00033FE4">
        <w:trPr>
          <w:trHeight w:val="402"/>
        </w:trPr>
        <w:tc>
          <w:tcPr>
            <w:tcW w:w="31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 п/п</w:t>
            </w:r>
          </w:p>
        </w:tc>
        <w:tc>
          <w:tcPr>
            <w:tcW w:w="3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Наименование товара (работы, услуги)</w:t>
            </w:r>
          </w:p>
        </w:tc>
        <w:tc>
          <w:tcPr>
            <w:tcW w:w="28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Код позиции, КТРУ</w:t>
            </w:r>
          </w:p>
        </w:tc>
        <w:tc>
          <w:tcPr>
            <w:tcW w:w="4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Наименование характеристики</w:t>
            </w:r>
          </w:p>
        </w:tc>
        <w:tc>
          <w:tcPr>
            <w:tcW w:w="36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Значение</w:t>
            </w:r>
          </w:p>
        </w:tc>
        <w:tc>
          <w:tcPr>
            <w:tcW w:w="2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Ед. измерения</w:t>
            </w:r>
          </w:p>
        </w:tc>
        <w:tc>
          <w:tcPr>
            <w:tcW w:w="3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Инструкция по заполнению</w:t>
            </w:r>
          </w:p>
        </w:tc>
        <w:tc>
          <w:tcPr>
            <w:tcW w:w="46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Обоснование характеристики</w:t>
            </w:r>
          </w:p>
        </w:tc>
        <w:tc>
          <w:tcPr>
            <w:tcW w:w="1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Кол-во</w:t>
            </w:r>
          </w:p>
        </w:tc>
        <w:tc>
          <w:tcPr>
            <w:tcW w:w="563" w:type="pct"/>
            <w:vMerge w:val="restart"/>
            <w:tcBorders>
              <w:top w:val="single" w:sz="8" w:space="0" w:color="auto"/>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b/>
                <w:bCs/>
                <w:color w:val="000000"/>
                <w:sz w:val="20"/>
                <w:szCs w:val="20"/>
                <w:lang w:eastAsia="ru-RU"/>
              </w:rPr>
            </w:pPr>
            <w:r w:rsidRPr="00033FE4">
              <w:rPr>
                <w:rFonts w:ascii="Times New Roman" w:eastAsia="Times New Roman" w:hAnsi="Times New Roman" w:cs="Times New Roman"/>
                <w:b/>
                <w:bCs/>
                <w:color w:val="000000"/>
                <w:sz w:val="20"/>
                <w:szCs w:val="20"/>
                <w:lang w:eastAsia="ru-RU"/>
              </w:rPr>
              <w:t>Ед. измерения товара</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b/>
                <w:color w:val="000000"/>
                <w:sz w:val="20"/>
                <w:szCs w:val="20"/>
                <w:lang w:eastAsia="ru-RU"/>
              </w:rPr>
            </w:pPr>
            <w:r w:rsidRPr="00033FE4">
              <w:rPr>
                <w:rFonts w:ascii="Times New Roman" w:eastAsia="Times New Roman" w:hAnsi="Times New Roman" w:cs="Times New Roman"/>
                <w:b/>
                <w:color w:val="000000"/>
                <w:sz w:val="20"/>
                <w:szCs w:val="20"/>
                <w:lang w:eastAsia="ru-RU"/>
              </w:rPr>
              <w:t>Страна происхождения товара</w:t>
            </w:r>
          </w:p>
        </w:tc>
        <w:tc>
          <w:tcPr>
            <w:tcW w:w="35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b/>
                <w:color w:val="000000"/>
                <w:sz w:val="20"/>
                <w:szCs w:val="20"/>
                <w:lang w:eastAsia="ru-RU"/>
              </w:rPr>
            </w:pPr>
            <w:r w:rsidRPr="00033FE4">
              <w:rPr>
                <w:rFonts w:ascii="Times New Roman" w:eastAsia="Times New Roman" w:hAnsi="Times New Roman" w:cs="Times New Roman"/>
                <w:b/>
                <w:color w:val="000000"/>
                <w:sz w:val="20"/>
                <w:szCs w:val="20"/>
                <w:lang w:eastAsia="ru-RU"/>
              </w:rPr>
              <w:t>Ставка НДС%</w:t>
            </w:r>
          </w:p>
        </w:tc>
        <w:tc>
          <w:tcPr>
            <w:tcW w:w="407"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b/>
                <w:color w:val="000000"/>
                <w:sz w:val="20"/>
                <w:szCs w:val="20"/>
                <w:lang w:eastAsia="ru-RU"/>
              </w:rPr>
            </w:pPr>
            <w:r w:rsidRPr="00033FE4">
              <w:rPr>
                <w:rFonts w:ascii="Times New Roman" w:eastAsia="Times New Roman" w:hAnsi="Times New Roman" w:cs="Times New Roman"/>
                <w:b/>
                <w:color w:val="000000"/>
                <w:sz w:val="20"/>
                <w:szCs w:val="20"/>
                <w:lang w:eastAsia="ru-RU"/>
              </w:rPr>
              <w:t>Цена за ед. с НДС</w:t>
            </w:r>
          </w:p>
        </w:tc>
        <w:tc>
          <w:tcPr>
            <w:tcW w:w="330"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b/>
                <w:color w:val="000000"/>
                <w:sz w:val="20"/>
                <w:szCs w:val="20"/>
                <w:lang w:eastAsia="ru-RU"/>
              </w:rPr>
            </w:pPr>
            <w:r w:rsidRPr="00033FE4">
              <w:rPr>
                <w:rFonts w:ascii="Times New Roman" w:eastAsia="Times New Roman" w:hAnsi="Times New Roman" w:cs="Times New Roman"/>
                <w:b/>
                <w:color w:val="000000"/>
                <w:sz w:val="20"/>
                <w:szCs w:val="20"/>
                <w:lang w:eastAsia="ru-RU"/>
              </w:rPr>
              <w:t>Сумма с НДС</w:t>
            </w:r>
          </w:p>
        </w:tc>
      </w:tr>
      <w:tr w:rsidR="00033FE4" w:rsidRPr="00033FE4" w:rsidTr="00033FE4">
        <w:trPr>
          <w:trHeight w:val="402"/>
        </w:trPr>
        <w:tc>
          <w:tcPr>
            <w:tcW w:w="310"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366"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289"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366"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352"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460"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157" w:type="pct"/>
            <w:vMerge/>
            <w:tcBorders>
              <w:top w:val="single" w:sz="8" w:space="0" w:color="auto"/>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563" w:type="pct"/>
            <w:vMerge/>
            <w:tcBorders>
              <w:top w:val="single" w:sz="8" w:space="0" w:color="auto"/>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bCs/>
                <w:color w:val="000000"/>
                <w:sz w:val="20"/>
                <w:szCs w:val="20"/>
                <w:lang w:eastAsia="ru-RU"/>
              </w:rPr>
            </w:pPr>
          </w:p>
        </w:tc>
        <w:tc>
          <w:tcPr>
            <w:tcW w:w="364" w:type="pct"/>
            <w:vMerge/>
            <w:tcBorders>
              <w:top w:val="single" w:sz="4" w:space="0" w:color="auto"/>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single" w:sz="4" w:space="0" w:color="auto"/>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single" w:sz="4" w:space="0" w:color="auto"/>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single" w:sz="4" w:space="0" w:color="auto"/>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разрыва гена BCL2 (18q21.33)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BCL2,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418</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BCL2,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694</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разрыва гена BCL6 (3q27)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BCL6,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359</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BCL6,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774</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BCOR (Xp11.4)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BCOR,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592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BCOR,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374</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4.                    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CAMTA1 (1p36)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CAMTA1,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424</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CAMTA1,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685</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5.                    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CIC (19q13)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CIC,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461</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CIC,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629</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6.                    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24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Набор реагентов для определения гена </w:t>
            </w:r>
            <w:r w:rsidRPr="00033FE4">
              <w:rPr>
                <w:rFonts w:ascii="Times New Roman" w:eastAsia="Times New Roman" w:hAnsi="Times New Roman" w:cs="Times New Roman"/>
                <w:color w:val="000000"/>
                <w:sz w:val="20"/>
                <w:szCs w:val="20"/>
                <w:lang w:eastAsia="ru-RU"/>
              </w:rPr>
              <w:br/>
              <w:t xml:space="preserve">IRF4 (6q25) </w:t>
            </w:r>
            <w:r w:rsidRPr="00033FE4">
              <w:rPr>
                <w:rFonts w:ascii="Times New Roman" w:eastAsia="Times New Roman" w:hAnsi="Times New Roman" w:cs="Times New Roman"/>
                <w:color w:val="000000"/>
                <w:sz w:val="20"/>
                <w:szCs w:val="20"/>
                <w:lang w:eastAsia="ru-RU"/>
              </w:rPr>
              <w:br/>
              <w:t>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IRF4,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123</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IRF4,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435</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7.                    </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MALT1 (18q21)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MALT1,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343</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MALT1,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699</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right"/>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8</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MYC (8q24.21)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MYC,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326</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MYC,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566</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гена MYC (8q24.21)</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1,8</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Mb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Обеспечивает селективную детекцию амплификации гена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right"/>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9</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MYCN/CSP2 (2p24/2p11.1-q11.1)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гена MYCN (2p24)</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199</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Обеспечивает селективную детекцию амплификации гена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right"/>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10</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NCOA2 (8q13)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NCOA2,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522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NCOA2,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337</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right"/>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11</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для определения гена TFE3 (Xp11.2) методом флуоресцентной in situ гибридизации</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20.59.52.195</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Назначение</w:t>
            </w:r>
          </w:p>
        </w:tc>
        <w:tc>
          <w:tcPr>
            <w:tcW w:w="366"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1</w:t>
            </w:r>
          </w:p>
        </w:tc>
        <w:tc>
          <w:tcPr>
            <w:tcW w:w="563" w:type="pct"/>
            <w:vMerge w:val="restart"/>
            <w:tcBorders>
              <w:top w:val="nil"/>
              <w:left w:val="single" w:sz="8" w:space="0" w:color="auto"/>
              <w:bottom w:val="single" w:sz="8" w:space="0" w:color="000000"/>
              <w:right w:val="nil"/>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40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3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ручной постановки анализа</w:t>
            </w: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Количество выполняемых тестов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штука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Метод</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Флуоресцентная FISH и хромогенная CISH гибридизация in situ</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5'-конца гена TFE3, обозначенного зеленым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613</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Длина 3'-конца гена TFE3, обозначенного оранжевым цветом</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374</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val="en-US" w:eastAsia="ru-RU"/>
              </w:rPr>
              <w:t>kb</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xml:space="preserve">Обеспечивает селективную детекцию амплификации гена </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ДНК-зонда</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Общий объем флуоресцентного красителя 4,6-диамино-2-фенилиндола (DAPI)</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100</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мкл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Стандартная упаковка для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обеспечения стабильного процесса исследований и удобства применения набора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фермента пепсина для предварительной обработки препаратов</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Наличие инструкции по применению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Необходимость регламентированного протокола для воспроизводимости результатов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Минимальное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Позволяет соблюдать регламент срочных анализов, обеспечивая при этом достаточное накопление сигнала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Максимальное время гибридизации</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72</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ч</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rPr>
              <w:t>Исключает риск возникновения неспецифического фонового свечения при проведении длительных протоколов</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Зонды растворены в гибридизационном буфере и готовы к использованию</w:t>
            </w:r>
          </w:p>
        </w:tc>
        <w:tc>
          <w:tcPr>
            <w:tcW w:w="366"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Исключает необходимость дополнительного разведения реагентов в лабораторных условиях, что нивелирует риск ошибок</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Набор реагентов совместим с имеющимися в лаборатории гибридайзерами</w:t>
            </w:r>
          </w:p>
        </w:tc>
        <w:tc>
          <w:tcPr>
            <w:tcW w:w="366"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Соответствие</w:t>
            </w:r>
          </w:p>
        </w:tc>
        <w:tc>
          <w:tcPr>
            <w:tcW w:w="270"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 </w:t>
            </w:r>
          </w:p>
        </w:tc>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60" w:type="pct"/>
            <w:tcBorders>
              <w:top w:val="nil"/>
              <w:left w:val="nil"/>
              <w:bottom w:val="nil"/>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Для работы с имеющимся</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r w:rsidR="00033FE4" w:rsidRPr="00033FE4" w:rsidTr="00033FE4">
        <w:trPr>
          <w:trHeight w:val="402"/>
        </w:trPr>
        <w:tc>
          <w:tcPr>
            <w:tcW w:w="31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89"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2"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60" w:type="pct"/>
            <w:tcBorders>
              <w:top w:val="nil"/>
              <w:left w:val="nil"/>
              <w:bottom w:val="single" w:sz="8" w:space="0" w:color="auto"/>
              <w:right w:val="single" w:sz="8" w:space="0" w:color="auto"/>
            </w:tcBorders>
            <w:shd w:val="clear" w:color="auto" w:fill="auto"/>
            <w:vAlign w:val="center"/>
            <w:hideMark/>
          </w:tcPr>
          <w:p w:rsidR="00033FE4" w:rsidRPr="00033FE4" w:rsidRDefault="00033FE4" w:rsidP="00033FE4">
            <w:pPr>
              <w:spacing w:after="0" w:line="240" w:lineRule="auto"/>
              <w:jc w:val="center"/>
              <w:rPr>
                <w:rFonts w:ascii="Times New Roman" w:eastAsia="Times New Roman" w:hAnsi="Times New Roman" w:cs="Times New Roman"/>
                <w:color w:val="000000"/>
                <w:sz w:val="20"/>
                <w:szCs w:val="20"/>
                <w:lang w:eastAsia="ru-RU"/>
              </w:rPr>
            </w:pPr>
            <w:r w:rsidRPr="00033FE4">
              <w:rPr>
                <w:rFonts w:ascii="Times New Roman" w:eastAsia="Times New Roman" w:hAnsi="Times New Roman" w:cs="Times New Roman"/>
                <w:color w:val="000000"/>
                <w:sz w:val="20"/>
                <w:szCs w:val="20"/>
                <w:lang w:eastAsia="ru-RU"/>
              </w:rPr>
              <w:t>оборудованием у заказчика</w:t>
            </w:r>
          </w:p>
        </w:tc>
        <w:tc>
          <w:tcPr>
            <w:tcW w:w="157" w:type="pct"/>
            <w:vMerge/>
            <w:tcBorders>
              <w:top w:val="nil"/>
              <w:left w:val="single" w:sz="8" w:space="0" w:color="auto"/>
              <w:bottom w:val="single" w:sz="8" w:space="0" w:color="000000"/>
              <w:right w:val="single" w:sz="8"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563" w:type="pct"/>
            <w:vMerge/>
            <w:tcBorders>
              <w:top w:val="nil"/>
              <w:left w:val="single" w:sz="8" w:space="0" w:color="auto"/>
              <w:bottom w:val="single" w:sz="8" w:space="0" w:color="000000"/>
              <w:right w:val="nil"/>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6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407"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c>
          <w:tcPr>
            <w:tcW w:w="330" w:type="pct"/>
            <w:vMerge/>
            <w:tcBorders>
              <w:top w:val="nil"/>
              <w:left w:val="single" w:sz="4" w:space="0" w:color="auto"/>
              <w:bottom w:val="single" w:sz="4" w:space="0" w:color="000000"/>
              <w:right w:val="single" w:sz="4" w:space="0" w:color="auto"/>
            </w:tcBorders>
            <w:vAlign w:val="center"/>
            <w:hideMark/>
          </w:tcPr>
          <w:p w:rsidR="00033FE4" w:rsidRPr="00033FE4" w:rsidRDefault="00033FE4" w:rsidP="00033FE4">
            <w:pPr>
              <w:spacing w:after="0" w:line="240" w:lineRule="auto"/>
              <w:rPr>
                <w:rFonts w:ascii="Times New Roman" w:eastAsia="Times New Roman" w:hAnsi="Times New Roman" w:cs="Times New Roman"/>
                <w:color w:val="000000"/>
                <w:sz w:val="20"/>
                <w:szCs w:val="20"/>
                <w:lang w:eastAsia="ru-RU"/>
              </w:rPr>
            </w:pPr>
          </w:p>
        </w:tc>
      </w:tr>
    </w:tbl>
    <w:p w:rsidR="00170252" w:rsidRDefault="00170252" w:rsidP="000820E3">
      <w:pPr>
        <w:rPr>
          <w:rFonts w:ascii="Times New Roman" w:hAnsi="Times New Roman" w:cs="Times New Roman"/>
          <w:b/>
          <w:sz w:val="28"/>
          <w:szCs w:val="28"/>
        </w:rPr>
      </w:pPr>
    </w:p>
    <w:sectPr w:rsidR="00170252" w:rsidSect="00033FE4">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7E5" w:rsidRDefault="008267E5">
      <w:pPr>
        <w:spacing w:after="0" w:line="240" w:lineRule="auto"/>
      </w:pPr>
      <w:r>
        <w:separator/>
      </w:r>
    </w:p>
  </w:endnote>
  <w:endnote w:type="continuationSeparator" w:id="0">
    <w:p w:rsidR="008267E5" w:rsidRDefault="00826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31A10" w:rsidRDefault="00331A1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31A10">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31A1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31A1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31A1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33FE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31A1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33FE4">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7E5" w:rsidRDefault="008267E5">
      <w:pPr>
        <w:spacing w:after="0" w:line="240" w:lineRule="auto"/>
      </w:pPr>
      <w:r>
        <w:separator/>
      </w:r>
    </w:p>
  </w:footnote>
  <w:footnote w:type="continuationSeparator" w:id="0">
    <w:p w:rsidR="008267E5" w:rsidRDefault="008267E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31A10" w:rsidRDefault="00331A1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31A10" w:rsidRDefault="00331A1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31A10" w:rsidRDefault="00331A1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33FE4"/>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31A10"/>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267E5"/>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033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033F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033FE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rsid w:val="00033FE4"/>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8">
    <w:name w:val="font8"/>
    <w:basedOn w:val="a0"/>
    <w:rsid w:val="00033FE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9">
    <w:name w:val="font9"/>
    <w:basedOn w:val="a0"/>
    <w:rsid w:val="00033FE4"/>
    <w:pPr>
      <w:spacing w:before="100" w:beforeAutospacing="1" w:after="100" w:afterAutospacing="1" w:line="240" w:lineRule="auto"/>
    </w:pPr>
    <w:rPr>
      <w:rFonts w:ascii="Times New Roman" w:eastAsia="Times New Roman" w:hAnsi="Times New Roman" w:cs="Times New Roman"/>
      <w:color w:val="000000"/>
      <w:sz w:val="23"/>
      <w:szCs w:val="23"/>
      <w:lang w:eastAsia="ru-RU"/>
    </w:rPr>
  </w:style>
  <w:style w:type="paragraph" w:customStyle="1" w:styleId="font10">
    <w:name w:val="font10"/>
    <w:basedOn w:val="a0"/>
    <w:rsid w:val="00033FE4"/>
    <w:pPr>
      <w:spacing w:before="100" w:beforeAutospacing="1" w:after="100" w:afterAutospacing="1" w:line="240" w:lineRule="auto"/>
    </w:pPr>
    <w:rPr>
      <w:rFonts w:ascii="Times New Roman" w:eastAsia="Times New Roman" w:hAnsi="Times New Roman" w:cs="Times New Roman"/>
      <w:color w:val="000000"/>
      <w:sz w:val="23"/>
      <w:szCs w:val="23"/>
      <w:lang w:eastAsia="ru-RU"/>
    </w:rPr>
  </w:style>
  <w:style w:type="paragraph" w:customStyle="1" w:styleId="xl63">
    <w:name w:val="xl63"/>
    <w:basedOn w:val="a0"/>
    <w:rsid w:val="00033FE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0"/>
    <w:rsid w:val="00033FE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5">
    <w:name w:val="xl65"/>
    <w:basedOn w:val="a0"/>
    <w:rsid w:val="00033FE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0"/>
    <w:rsid w:val="00033FE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7">
    <w:name w:val="xl67"/>
    <w:basedOn w:val="a0"/>
    <w:rsid w:val="00033FE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8">
    <w:name w:val="xl68"/>
    <w:basedOn w:val="a0"/>
    <w:rsid w:val="00033FE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9">
    <w:name w:val="xl69"/>
    <w:basedOn w:val="a0"/>
    <w:rsid w:val="00033FE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0"/>
    <w:rsid w:val="00033FE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33FE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33FE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0"/>
    <w:rsid w:val="00033FE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0"/>
    <w:rsid w:val="00033FE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33FE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33FE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7">
    <w:name w:val="xl77"/>
    <w:basedOn w:val="a0"/>
    <w:rsid w:val="00033FE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8">
    <w:name w:val="xl78"/>
    <w:basedOn w:val="a0"/>
    <w:rsid w:val="00033FE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33FE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33FE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0"/>
    <w:rsid w:val="00033F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0"/>
    <w:rsid w:val="00033FE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0"/>
    <w:rsid w:val="00033FE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0"/>
    <w:rsid w:val="00033FE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769592435">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A6E2A-9735-492C-9390-E37C829C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5395</Words>
  <Characters>30752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2026-08-06T12:47:00Z</dcterms:created>
  <dcterms:modified xsi:type="dcterms:W3CDTF">2026-08-06T12:47:00Z</dcterms:modified>
</cp:coreProperties>
</file>