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21.1-03/1394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F3331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F91CE8">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сета для плазмообмена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(десяти) календарных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регистрационное удостоверение</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не менее 12 месяцев на момент поставки товара</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F91CE8">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F91CE8">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746"/>
        <w:gridCol w:w="5812"/>
        <w:gridCol w:w="811"/>
        <w:gridCol w:w="916"/>
        <w:gridCol w:w="1724"/>
        <w:gridCol w:w="1243"/>
        <w:gridCol w:w="776"/>
        <w:gridCol w:w="932"/>
        <w:gridCol w:w="1358"/>
      </w:tblGrid>
      <w:tr w:rsidR="00F91CE8" w:rsidRPr="00B713A2" w:rsidTr="005A79D4">
        <w:trPr>
          <w:trHeight w:val="20"/>
          <w:jc w:val="center"/>
        </w:trPr>
        <w:tc>
          <w:tcPr>
            <w:tcW w:w="630" w:type="dxa"/>
            <w:vAlign w:val="center"/>
            <w:hideMark/>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 п/п</w:t>
            </w:r>
          </w:p>
        </w:tc>
        <w:tc>
          <w:tcPr>
            <w:tcW w:w="1746" w:type="dxa"/>
            <w:vAlign w:val="center"/>
            <w:hideMark/>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 xml:space="preserve">Наименование товара </w:t>
            </w:r>
          </w:p>
        </w:tc>
        <w:tc>
          <w:tcPr>
            <w:tcW w:w="5812" w:type="dxa"/>
            <w:vAlign w:val="center"/>
            <w:hideMark/>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811" w:type="dxa"/>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Кол-во</w:t>
            </w:r>
          </w:p>
        </w:tc>
        <w:tc>
          <w:tcPr>
            <w:tcW w:w="916" w:type="dxa"/>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Ед. изм.</w:t>
            </w:r>
          </w:p>
        </w:tc>
        <w:tc>
          <w:tcPr>
            <w:tcW w:w="1724" w:type="dxa"/>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ОКПД2/ КТРУ</w:t>
            </w:r>
          </w:p>
        </w:tc>
        <w:tc>
          <w:tcPr>
            <w:tcW w:w="1243"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Страна происхождения</w:t>
            </w:r>
          </w:p>
        </w:tc>
        <w:tc>
          <w:tcPr>
            <w:tcW w:w="776"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НДС %</w:t>
            </w:r>
          </w:p>
        </w:tc>
        <w:tc>
          <w:tcPr>
            <w:tcW w:w="932"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Цена за ед. без НДС (руб.)</w:t>
            </w:r>
          </w:p>
        </w:tc>
        <w:tc>
          <w:tcPr>
            <w:tcW w:w="1358"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r w:rsidRPr="00B713A2">
              <w:rPr>
                <w:rFonts w:ascii="Times New Roman" w:eastAsia="Times New Roman" w:hAnsi="Times New Roman" w:cs="Times New Roman"/>
                <w:b/>
                <w:lang w:eastAsia="ru-RU"/>
              </w:rPr>
              <w:t>Сумма без НДС (руб.)</w:t>
            </w:r>
          </w:p>
        </w:tc>
      </w:tr>
      <w:tr w:rsidR="00F91CE8" w:rsidRPr="00B713A2" w:rsidTr="005A79D4">
        <w:trPr>
          <w:trHeight w:val="20"/>
          <w:jc w:val="center"/>
        </w:trPr>
        <w:tc>
          <w:tcPr>
            <w:tcW w:w="630" w:type="dxa"/>
            <w:vAlign w:val="center"/>
          </w:tcPr>
          <w:p w:rsidR="00F91CE8" w:rsidRPr="00B713A2" w:rsidRDefault="00F91CE8" w:rsidP="005A79D4">
            <w:pPr>
              <w:spacing w:after="0" w:line="240" w:lineRule="auto"/>
              <w:jc w:val="center"/>
              <w:rPr>
                <w:rFonts w:ascii="Times New Roman" w:eastAsia="Times New Roman" w:hAnsi="Times New Roman" w:cs="Times New Roman"/>
                <w:lang w:eastAsia="ru-RU"/>
              </w:rPr>
            </w:pPr>
            <w:r w:rsidRPr="00B713A2">
              <w:rPr>
                <w:rFonts w:ascii="Times New Roman" w:eastAsia="Times New Roman" w:hAnsi="Times New Roman" w:cs="Times New Roman"/>
                <w:lang w:eastAsia="ru-RU"/>
              </w:rPr>
              <w:t>1</w:t>
            </w: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p w:rsidR="00F91CE8" w:rsidRPr="00B713A2" w:rsidRDefault="00F91CE8" w:rsidP="005A79D4">
            <w:pPr>
              <w:spacing w:after="0" w:line="240" w:lineRule="auto"/>
              <w:jc w:val="center"/>
              <w:rPr>
                <w:rFonts w:ascii="Times New Roman" w:eastAsia="Times New Roman" w:hAnsi="Times New Roman" w:cs="Times New Roman"/>
                <w:lang w:eastAsia="ru-RU"/>
              </w:rPr>
            </w:pPr>
          </w:p>
        </w:tc>
        <w:tc>
          <w:tcPr>
            <w:tcW w:w="1746" w:type="dxa"/>
            <w:tcBorders>
              <w:top w:val="single" w:sz="5" w:space="0" w:color="auto"/>
              <w:left w:val="single" w:sz="5" w:space="0" w:color="auto"/>
              <w:bottom w:val="single" w:sz="5" w:space="0" w:color="auto"/>
              <w:right w:val="single" w:sz="5" w:space="0" w:color="auto"/>
            </w:tcBorders>
            <w:shd w:val="clear" w:color="FFFFFF" w:fill="auto"/>
          </w:tcPr>
          <w:p w:rsidR="00F91CE8" w:rsidRPr="008E2284" w:rsidRDefault="00F91CE8" w:rsidP="005A79D4">
            <w:pPr>
              <w:pStyle w:val="TableParagraph"/>
              <w:spacing w:line="202" w:lineRule="exact"/>
              <w:ind w:left="16" w:right="11"/>
            </w:pPr>
            <w:r w:rsidRPr="008E2284">
              <w:t>Набор</w:t>
            </w:r>
            <w:r w:rsidRPr="008E2284">
              <w:rPr>
                <w:spacing w:val="-4"/>
              </w:rPr>
              <w:t xml:space="preserve"> </w:t>
            </w:r>
            <w:r w:rsidRPr="008E2284">
              <w:rPr>
                <w:spacing w:val="-5"/>
              </w:rPr>
              <w:t>для</w:t>
            </w:r>
          </w:p>
          <w:p w:rsidR="00F91CE8" w:rsidRPr="00B713A2" w:rsidRDefault="00F91CE8" w:rsidP="005A79D4">
            <w:pPr>
              <w:pStyle w:val="PlainText"/>
              <w:widowControl w:val="0"/>
              <w:autoSpaceDE w:val="0"/>
              <w:autoSpaceDN w:val="0"/>
              <w:adjustRightInd w:val="0"/>
              <w:ind w:left="141"/>
              <w:jc w:val="center"/>
              <w:rPr>
                <w:rFonts w:ascii="Times New Roman" w:hAnsi="Times New Roman"/>
                <w:sz w:val="22"/>
                <w:szCs w:val="22"/>
                <w:lang w:val="ru-RU"/>
              </w:rPr>
            </w:pPr>
            <w:r w:rsidRPr="008E2284">
              <w:rPr>
                <w:rFonts w:ascii="Times New Roman" w:hAnsi="Times New Roman"/>
                <w:sz w:val="22"/>
                <w:szCs w:val="22"/>
              </w:rPr>
              <w:t>переливания</w:t>
            </w:r>
            <w:r w:rsidRPr="008E2284">
              <w:rPr>
                <w:rFonts w:ascii="Times New Roman" w:hAnsi="Times New Roman"/>
                <w:spacing w:val="-12"/>
                <w:sz w:val="22"/>
                <w:szCs w:val="22"/>
              </w:rPr>
              <w:t xml:space="preserve"> </w:t>
            </w:r>
            <w:r w:rsidRPr="008E2284">
              <w:rPr>
                <w:rFonts w:ascii="Times New Roman" w:hAnsi="Times New Roman"/>
                <w:sz w:val="22"/>
                <w:szCs w:val="22"/>
              </w:rPr>
              <w:t>крови</w:t>
            </w:r>
            <w:r w:rsidRPr="008E2284">
              <w:rPr>
                <w:rFonts w:ascii="Times New Roman" w:hAnsi="Times New Roman"/>
                <w:spacing w:val="-11"/>
                <w:sz w:val="22"/>
                <w:szCs w:val="22"/>
              </w:rPr>
              <w:t xml:space="preserve"> </w:t>
            </w:r>
            <w:r w:rsidRPr="008E2284">
              <w:rPr>
                <w:rFonts w:ascii="Times New Roman" w:hAnsi="Times New Roman"/>
                <w:sz w:val="22"/>
                <w:szCs w:val="22"/>
              </w:rPr>
              <w:t xml:space="preserve">в </w:t>
            </w:r>
            <w:r w:rsidRPr="008E2284">
              <w:rPr>
                <w:rFonts w:ascii="Times New Roman" w:hAnsi="Times New Roman"/>
                <w:spacing w:val="-2"/>
                <w:sz w:val="22"/>
                <w:szCs w:val="22"/>
              </w:rPr>
              <w:t>контейнеры</w:t>
            </w:r>
          </w:p>
        </w:tc>
        <w:tc>
          <w:tcPr>
            <w:tcW w:w="5812" w:type="dxa"/>
            <w:tcBorders>
              <w:top w:val="single" w:sz="5" w:space="0" w:color="auto"/>
              <w:left w:val="single" w:sz="5" w:space="0" w:color="auto"/>
              <w:bottom w:val="single" w:sz="5" w:space="0" w:color="auto"/>
              <w:right w:val="single" w:sz="5" w:space="0" w:color="auto"/>
            </w:tcBorders>
            <w:shd w:val="clear" w:color="FFFFFF" w:fill="auto"/>
          </w:tcPr>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Pr>
                <w:rFonts w:ascii="Times New Roman" w:hAnsi="Times New Roman"/>
                <w:sz w:val="22"/>
                <w:szCs w:val="22"/>
                <w:lang w:val="ru-RU"/>
              </w:rPr>
              <w:t xml:space="preserve">Длина магистрали ≥ 500 </w:t>
            </w:r>
            <w:r w:rsidRPr="008E2284">
              <w:rPr>
                <w:rFonts w:ascii="Times New Roman" w:hAnsi="Times New Roman"/>
                <w:sz w:val="22"/>
                <w:szCs w:val="22"/>
                <w:lang w:val="ru-RU"/>
              </w:rPr>
              <w:t>≤ 1000</w:t>
            </w:r>
            <w:r>
              <w:rPr>
                <w:rFonts w:ascii="Times New Roman" w:hAnsi="Times New Roman"/>
                <w:sz w:val="22"/>
                <w:szCs w:val="22"/>
                <w:lang w:val="ru-RU"/>
              </w:rPr>
              <w:t xml:space="preserve"> мм.</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sidRPr="008E2284">
              <w:rPr>
                <w:rFonts w:ascii="Times New Roman" w:hAnsi="Times New Roman"/>
                <w:sz w:val="22"/>
                <w:szCs w:val="22"/>
                <w:lang w:val="ru-RU"/>
              </w:rPr>
              <w:t xml:space="preserve">Способ загрузки сета </w:t>
            </w:r>
            <w:r>
              <w:rPr>
                <w:rFonts w:ascii="Times New Roman" w:hAnsi="Times New Roman"/>
                <w:sz w:val="22"/>
                <w:szCs w:val="22"/>
                <w:lang w:val="ru-RU"/>
              </w:rPr>
              <w:t>–</w:t>
            </w:r>
            <w:r w:rsidRPr="008E2284">
              <w:rPr>
                <w:rFonts w:ascii="Times New Roman" w:hAnsi="Times New Roman"/>
                <w:sz w:val="22"/>
                <w:szCs w:val="22"/>
                <w:lang w:val="ru-RU"/>
              </w:rPr>
              <w:t xml:space="preserve"> кассетный</w:t>
            </w:r>
            <w:r>
              <w:rPr>
                <w:rFonts w:ascii="Times New Roman" w:hAnsi="Times New Roman"/>
                <w:sz w:val="22"/>
                <w:szCs w:val="22"/>
                <w:lang w:val="ru-RU"/>
              </w:rPr>
              <w:t>.</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sidRPr="008E2284">
              <w:rPr>
                <w:rFonts w:ascii="Times New Roman" w:hAnsi="Times New Roman"/>
                <w:sz w:val="22"/>
                <w:szCs w:val="22"/>
                <w:lang w:val="ru-RU"/>
              </w:rPr>
              <w:t>Тип процедуры – одноигольная или двухигольная</w:t>
            </w:r>
            <w:r>
              <w:rPr>
                <w:rFonts w:ascii="Times New Roman" w:hAnsi="Times New Roman"/>
                <w:sz w:val="22"/>
                <w:szCs w:val="22"/>
                <w:lang w:val="ru-RU"/>
              </w:rPr>
              <w:t>.</w:t>
            </w:r>
          </w:p>
          <w:p w:rsidR="00F91CE8" w:rsidRDefault="00F91CE8" w:rsidP="005A79D4">
            <w:pPr>
              <w:pStyle w:val="PlainText"/>
              <w:widowControl w:val="0"/>
              <w:autoSpaceDE w:val="0"/>
              <w:autoSpaceDN w:val="0"/>
              <w:adjustRightInd w:val="0"/>
              <w:ind w:left="141"/>
              <w:rPr>
                <w:rFonts w:ascii="Times New Roman" w:hAnsi="Times New Roman"/>
                <w:sz w:val="22"/>
                <w:szCs w:val="22"/>
                <w:lang w:val="ru-RU"/>
              </w:rPr>
            </w:pPr>
            <w:r>
              <w:rPr>
                <w:rFonts w:ascii="Times New Roman" w:hAnsi="Times New Roman"/>
                <w:sz w:val="22"/>
                <w:szCs w:val="22"/>
                <w:lang w:val="ru-RU"/>
              </w:rPr>
              <w:t xml:space="preserve">Экстракорпоральный объем сета </w:t>
            </w:r>
            <w:r w:rsidRPr="008E2284">
              <w:rPr>
                <w:rFonts w:ascii="Times New Roman" w:hAnsi="Times New Roman"/>
                <w:sz w:val="22"/>
                <w:szCs w:val="22"/>
                <w:lang w:val="ru-RU"/>
              </w:rPr>
              <w:t xml:space="preserve">191 </w:t>
            </w:r>
            <w:r>
              <w:rPr>
                <w:rFonts w:ascii="Times New Roman" w:hAnsi="Times New Roman"/>
                <w:sz w:val="22"/>
                <w:szCs w:val="22"/>
                <w:lang w:val="ru-RU"/>
              </w:rPr>
              <w:t>милл</w:t>
            </w:r>
            <w:r w:rsidRPr="008E2284">
              <w:rPr>
                <w:rFonts w:ascii="Times New Roman" w:hAnsi="Times New Roman"/>
                <w:sz w:val="22"/>
                <w:szCs w:val="22"/>
                <w:lang w:val="ru-RU"/>
              </w:rPr>
              <w:t>илитр</w:t>
            </w:r>
            <w:r>
              <w:rPr>
                <w:rFonts w:ascii="Times New Roman" w:hAnsi="Times New Roman"/>
                <w:sz w:val="22"/>
                <w:szCs w:val="22"/>
                <w:lang w:val="ru-RU"/>
              </w:rPr>
              <w:t>.</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sidRPr="008E2284">
              <w:rPr>
                <w:rFonts w:ascii="Times New Roman" w:hAnsi="Times New Roman"/>
                <w:sz w:val="22"/>
                <w:szCs w:val="22"/>
                <w:lang w:val="ru-RU"/>
              </w:rPr>
              <w:t>Цветовая дифференцировка</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sidRPr="008E2284">
              <w:rPr>
                <w:rFonts w:ascii="Times New Roman" w:hAnsi="Times New Roman"/>
                <w:sz w:val="22"/>
                <w:szCs w:val="22"/>
                <w:lang w:val="ru-RU"/>
              </w:rPr>
              <w:t>линий сбора антикоагулянта, восполняющего и</w:t>
            </w:r>
            <w:r>
              <w:t xml:space="preserve"> </w:t>
            </w:r>
            <w:r>
              <w:rPr>
                <w:rFonts w:ascii="Times New Roman" w:hAnsi="Times New Roman"/>
                <w:sz w:val="22"/>
                <w:szCs w:val="22"/>
                <w:lang w:val="ru-RU"/>
              </w:rPr>
              <w:t xml:space="preserve">замещающего </w:t>
            </w:r>
            <w:r w:rsidRPr="008E2284">
              <w:rPr>
                <w:rFonts w:ascii="Times New Roman" w:hAnsi="Times New Roman"/>
                <w:sz w:val="22"/>
                <w:szCs w:val="22"/>
                <w:lang w:val="ru-RU"/>
              </w:rPr>
              <w:t>растворов</w:t>
            </w:r>
            <w:r>
              <w:rPr>
                <w:rFonts w:ascii="Times New Roman" w:hAnsi="Times New Roman"/>
                <w:sz w:val="22"/>
                <w:szCs w:val="22"/>
                <w:lang w:val="ru-RU"/>
              </w:rPr>
              <w:t>: н</w:t>
            </w:r>
            <w:r w:rsidRPr="008E2284">
              <w:rPr>
                <w:rFonts w:ascii="Times New Roman" w:hAnsi="Times New Roman"/>
                <w:sz w:val="22"/>
                <w:szCs w:val="22"/>
                <w:lang w:val="ru-RU"/>
              </w:rPr>
              <w:t>аличие</w:t>
            </w:r>
            <w:r>
              <w:rPr>
                <w:rFonts w:ascii="Times New Roman" w:hAnsi="Times New Roman"/>
                <w:sz w:val="22"/>
                <w:szCs w:val="22"/>
                <w:lang w:val="ru-RU"/>
              </w:rPr>
              <w:t>.</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Pr>
                <w:rFonts w:ascii="Times New Roman" w:hAnsi="Times New Roman"/>
                <w:sz w:val="22"/>
                <w:szCs w:val="22"/>
                <w:lang w:val="ru-RU"/>
              </w:rPr>
              <w:t>Объем мешка для сбора плазмы ≥ 1000 милл</w:t>
            </w:r>
            <w:r w:rsidRPr="008E2284">
              <w:rPr>
                <w:rFonts w:ascii="Times New Roman" w:hAnsi="Times New Roman"/>
                <w:sz w:val="22"/>
                <w:szCs w:val="22"/>
                <w:lang w:val="ru-RU"/>
              </w:rPr>
              <w:t>илитр</w:t>
            </w:r>
            <w:r>
              <w:rPr>
                <w:rFonts w:ascii="Times New Roman" w:hAnsi="Times New Roman"/>
                <w:sz w:val="22"/>
                <w:szCs w:val="22"/>
                <w:lang w:val="ru-RU"/>
              </w:rPr>
              <w:t>.</w:t>
            </w:r>
          </w:p>
          <w:p w:rsidR="00F91CE8" w:rsidRPr="008E2284" w:rsidRDefault="00F91CE8" w:rsidP="005A79D4">
            <w:pPr>
              <w:pStyle w:val="PlainText"/>
              <w:widowControl w:val="0"/>
              <w:autoSpaceDE w:val="0"/>
              <w:autoSpaceDN w:val="0"/>
              <w:adjustRightInd w:val="0"/>
              <w:ind w:left="141"/>
              <w:rPr>
                <w:rFonts w:ascii="Times New Roman" w:hAnsi="Times New Roman"/>
                <w:sz w:val="22"/>
                <w:szCs w:val="22"/>
                <w:lang w:val="ru-RU"/>
              </w:rPr>
            </w:pPr>
            <w:r w:rsidRPr="008E2284">
              <w:rPr>
                <w:rFonts w:ascii="Times New Roman" w:hAnsi="Times New Roman"/>
                <w:sz w:val="22"/>
                <w:szCs w:val="22"/>
                <w:lang w:val="ru-RU"/>
              </w:rPr>
              <w:t>Объ</w:t>
            </w:r>
            <w:r>
              <w:rPr>
                <w:rFonts w:ascii="Times New Roman" w:hAnsi="Times New Roman"/>
                <w:sz w:val="22"/>
                <w:szCs w:val="22"/>
                <w:lang w:val="ru-RU"/>
              </w:rPr>
              <w:t>ем мешка для сбора клеток крови ≥ 1000 милл</w:t>
            </w:r>
            <w:r w:rsidRPr="008E2284">
              <w:rPr>
                <w:rFonts w:ascii="Times New Roman" w:hAnsi="Times New Roman"/>
                <w:sz w:val="22"/>
                <w:szCs w:val="22"/>
                <w:lang w:val="ru-RU"/>
              </w:rPr>
              <w:t>илитр</w:t>
            </w:r>
            <w:r>
              <w:rPr>
                <w:rFonts w:ascii="Times New Roman" w:hAnsi="Times New Roman"/>
                <w:sz w:val="22"/>
                <w:szCs w:val="22"/>
                <w:lang w:val="ru-RU"/>
              </w:rPr>
              <w:t>.</w:t>
            </w:r>
          </w:p>
          <w:p w:rsidR="00F91CE8" w:rsidRPr="00B713A2" w:rsidRDefault="00F91CE8" w:rsidP="005A79D4">
            <w:pPr>
              <w:pStyle w:val="PlainText"/>
              <w:widowControl w:val="0"/>
              <w:autoSpaceDE w:val="0"/>
              <w:autoSpaceDN w:val="0"/>
              <w:adjustRightInd w:val="0"/>
              <w:ind w:left="141"/>
              <w:rPr>
                <w:rFonts w:ascii="Times New Roman" w:hAnsi="Times New Roman"/>
                <w:sz w:val="22"/>
                <w:szCs w:val="22"/>
                <w:lang w:val="ru-RU"/>
              </w:rPr>
            </w:pPr>
            <w:r>
              <w:rPr>
                <w:rFonts w:ascii="Times New Roman" w:hAnsi="Times New Roman"/>
                <w:sz w:val="22"/>
                <w:szCs w:val="22"/>
                <w:lang w:val="ru-RU"/>
              </w:rPr>
              <w:t>Объем вентиляционного мешка ≥ 200 милл</w:t>
            </w:r>
            <w:r w:rsidRPr="008E2284">
              <w:rPr>
                <w:rFonts w:ascii="Times New Roman" w:hAnsi="Times New Roman"/>
                <w:sz w:val="22"/>
                <w:szCs w:val="22"/>
                <w:lang w:val="ru-RU"/>
              </w:rPr>
              <w:t>илитр</w:t>
            </w:r>
            <w:r>
              <w:rPr>
                <w:rFonts w:ascii="Times New Roman" w:hAnsi="Times New Roman"/>
                <w:sz w:val="22"/>
                <w:szCs w:val="22"/>
                <w:lang w:val="ru-RU"/>
              </w:rPr>
              <w:t>.</w:t>
            </w:r>
          </w:p>
        </w:tc>
        <w:tc>
          <w:tcPr>
            <w:tcW w:w="811" w:type="dxa"/>
            <w:tcBorders>
              <w:top w:val="single" w:sz="5" w:space="0" w:color="auto"/>
              <w:left w:val="single" w:sz="5" w:space="0" w:color="auto"/>
              <w:bottom w:val="single" w:sz="5" w:space="0" w:color="auto"/>
              <w:right w:val="single" w:sz="5" w:space="0" w:color="auto"/>
            </w:tcBorders>
            <w:shd w:val="clear" w:color="FFFFFF" w:fill="auto"/>
          </w:tcPr>
          <w:p w:rsidR="00F91CE8" w:rsidRPr="00B713A2" w:rsidRDefault="00F91CE8" w:rsidP="005A79D4">
            <w:pPr>
              <w:pStyle w:val="PlainText"/>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6</w:t>
            </w:r>
          </w:p>
        </w:tc>
        <w:tc>
          <w:tcPr>
            <w:tcW w:w="916" w:type="dxa"/>
            <w:tcBorders>
              <w:top w:val="single" w:sz="5" w:space="0" w:color="auto"/>
              <w:left w:val="single" w:sz="5" w:space="0" w:color="auto"/>
              <w:bottom w:val="single" w:sz="5" w:space="0" w:color="auto"/>
              <w:right w:val="single" w:sz="5" w:space="0" w:color="auto"/>
            </w:tcBorders>
            <w:shd w:val="clear" w:color="FFFFFF" w:fill="auto"/>
          </w:tcPr>
          <w:p w:rsidR="00F91CE8" w:rsidRPr="00B713A2" w:rsidRDefault="00F91CE8" w:rsidP="005A79D4">
            <w:pPr>
              <w:pStyle w:val="PlainText"/>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шт</w:t>
            </w:r>
          </w:p>
        </w:tc>
        <w:tc>
          <w:tcPr>
            <w:tcW w:w="1724" w:type="dxa"/>
            <w:tcBorders>
              <w:top w:val="single" w:sz="5" w:space="0" w:color="auto"/>
              <w:left w:val="single" w:sz="5" w:space="0" w:color="auto"/>
              <w:bottom w:val="single" w:sz="5" w:space="0" w:color="auto"/>
              <w:right w:val="single" w:sz="5" w:space="0" w:color="auto"/>
            </w:tcBorders>
            <w:shd w:val="clear" w:color="FFFFFF" w:fill="auto"/>
          </w:tcPr>
          <w:p w:rsidR="00F91CE8" w:rsidRPr="00B713A2" w:rsidRDefault="00F91CE8" w:rsidP="005A79D4">
            <w:pPr>
              <w:pStyle w:val="PlainText"/>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32.50.13.190</w:t>
            </w:r>
          </w:p>
        </w:tc>
        <w:tc>
          <w:tcPr>
            <w:tcW w:w="1243"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p>
        </w:tc>
        <w:tc>
          <w:tcPr>
            <w:tcW w:w="776"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p>
        </w:tc>
        <w:tc>
          <w:tcPr>
            <w:tcW w:w="932"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p>
        </w:tc>
        <w:tc>
          <w:tcPr>
            <w:tcW w:w="1358" w:type="dxa"/>
            <w:shd w:val="clear" w:color="auto" w:fill="FFFFCC"/>
            <w:vAlign w:val="center"/>
          </w:tcPr>
          <w:p w:rsidR="00F91CE8" w:rsidRPr="00B713A2" w:rsidRDefault="00F91CE8" w:rsidP="005A79D4">
            <w:pPr>
              <w:spacing w:after="0" w:line="240" w:lineRule="auto"/>
              <w:jc w:val="center"/>
              <w:rPr>
                <w:rFonts w:ascii="Times New Roman" w:eastAsia="Times New Roman" w:hAnsi="Times New Roman" w:cs="Times New Roman"/>
                <w:b/>
                <w:lang w:eastAsia="ru-RU"/>
              </w:rPr>
            </w:pPr>
          </w:p>
        </w:tc>
      </w:tr>
    </w:tbl>
    <w:p w:rsidR="00170252" w:rsidRDefault="00170252" w:rsidP="000820E3">
      <w:pPr>
        <w:rPr>
          <w:rFonts w:ascii="Times New Roman" w:hAnsi="Times New Roman" w:cs="Times New Roman"/>
          <w:b/>
          <w:sz w:val="28"/>
          <w:szCs w:val="28"/>
        </w:rPr>
      </w:pPr>
    </w:p>
    <w:sectPr w:rsidR="00170252" w:rsidSect="00F91CE8">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C30" w:rsidRDefault="00DC1C30">
      <w:pPr>
        <w:spacing w:after="0" w:line="240" w:lineRule="auto"/>
      </w:pPr>
      <w:r>
        <w:separator/>
      </w:r>
    </w:p>
  </w:endnote>
  <w:endnote w:type="continuationSeparator" w:id="0">
    <w:p w:rsidR="00DC1C30" w:rsidRDefault="00DC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33312" w:rsidRDefault="00F3331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33312">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F3331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3331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3331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3331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91CE8">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C30" w:rsidRDefault="00DC1C30">
      <w:pPr>
        <w:spacing w:after="0" w:line="240" w:lineRule="auto"/>
      </w:pPr>
      <w:r>
        <w:separator/>
      </w:r>
    </w:p>
  </w:footnote>
  <w:footnote w:type="continuationSeparator" w:id="0">
    <w:p w:rsidR="00DC1C30" w:rsidRDefault="00DC1C3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33312" w:rsidRDefault="00F3331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33312" w:rsidRDefault="00F3331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33312" w:rsidRDefault="00F3331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C1C30"/>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312"/>
    <w:rsid w:val="00F33B71"/>
    <w:rsid w:val="00F3582B"/>
    <w:rsid w:val="00F374E2"/>
    <w:rsid w:val="00F37FB4"/>
    <w:rsid w:val="00F40F15"/>
    <w:rsid w:val="00F43A9A"/>
    <w:rsid w:val="00F52E6A"/>
    <w:rsid w:val="00F709FA"/>
    <w:rsid w:val="00F72D5A"/>
    <w:rsid w:val="00F73B84"/>
    <w:rsid w:val="00F84F75"/>
    <w:rsid w:val="00F904BD"/>
    <w:rsid w:val="00F91CE8"/>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PlainText">
    <w:name w:val="Plain Text Знак Знак"/>
    <w:basedOn w:val="a0"/>
    <w:link w:val="PlainText0"/>
    <w:rsid w:val="00F91CE8"/>
    <w:pPr>
      <w:spacing w:after="0" w:line="240" w:lineRule="auto"/>
    </w:pPr>
    <w:rPr>
      <w:rFonts w:ascii="Courier New" w:eastAsia="Calibri" w:hAnsi="Courier New" w:cs="Times New Roman"/>
      <w:sz w:val="20"/>
      <w:szCs w:val="20"/>
      <w:lang w:val="x-none" w:eastAsia="ru-RU"/>
    </w:rPr>
  </w:style>
  <w:style w:type="character" w:customStyle="1" w:styleId="PlainText0">
    <w:name w:val="Plain Text Знак Знак Знак"/>
    <w:link w:val="PlainText"/>
    <w:locked/>
    <w:rsid w:val="00F91CE8"/>
    <w:rPr>
      <w:rFonts w:ascii="Courier New" w:eastAsia="Calibri" w:hAnsi="Courier New" w:cs="Times New Roman"/>
      <w:sz w:val="20"/>
      <w:szCs w:val="20"/>
      <w:lang w:val="x-none" w:eastAsia="ru-RU"/>
    </w:rPr>
  </w:style>
  <w:style w:type="paragraph" w:customStyle="1" w:styleId="TableParagraph">
    <w:name w:val="Table Paragraph"/>
    <w:basedOn w:val="a0"/>
    <w:uiPriority w:val="1"/>
    <w:qFormat/>
    <w:rsid w:val="00F91CE8"/>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99938-F42C-4183-8A81-3F552BD1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2026-07-01T05:55:00Z</dcterms:created>
  <dcterms:modified xsi:type="dcterms:W3CDTF">2026-07-01T05:55:00Z</dcterms:modified>
</cp:coreProperties>
</file>