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E768F9" w:rsidRDefault="00E768F9" w:rsidP="0027696D">
      <w:pPr>
        <w:spacing w:after="0" w:line="240" w:lineRule="auto"/>
      </w:pPr>
    </w:p>
    <w:tbl>
      <w:tblPr>
        <w:tblW w:w="10740" w:type="dxa"/>
        <w:tblInd w:w="-851" w:type="dxa"/>
        <w:tblLayout w:type="fixed"/>
        <w:tblLook w:val="04A0" w:firstRow="1" w:lastRow="0" w:firstColumn="1" w:lastColumn="0" w:noHBand="0" w:noVBand="1"/>
      </w:tblPr>
      <w:tblGrid>
        <w:gridCol w:w="850"/>
        <w:gridCol w:w="9890"/>
      </w:tblGrid>
      <w:tr w:rsidR="00BF2771" w:rsidRPr="00F27547" w:rsidTr="002602CF">
        <w:tc>
          <w:tcPr>
            <w:tcW w:w="10740" w:type="dxa"/>
            <w:gridSpan w:val="2"/>
            <w:tcBorders>
              <w:bottom w:val="single" w:sz="4" w:space="0" w:color="auto"/>
            </w:tcBorders>
            <w:shd w:val="clear" w:color="auto" w:fill="FFFFFF" w:themeFill="background1"/>
            <w:vAlign w:val="bottom"/>
          </w:tcPr>
          <w:p w:rsidR="00BF2771" w:rsidRPr="00F27547" w:rsidRDefault="004E4663" w:rsidP="004E4663">
            <w:pPr>
              <w:tabs>
                <w:tab w:val="left" w:pos="7088"/>
              </w:tabs>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fldChar w:fldCharType="begin">
                <w:ffData>
                  <w:name w:val="ДатаРегИНомер"/>
                  <w:enabled/>
                  <w:calcOnExit w:val="0"/>
                  <w:textInput>
                    <w:default w:val="ДатаРегИНомер"/>
                  </w:textInput>
                </w:ffData>
              </w:fldChar>
            </w:r>
            <w:bookmarkStart w:id="0" w:name="ДатаРегИНомер"/>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sz w:val="24"/>
                <w:szCs w:val="24"/>
                <w:u w:val="single"/>
              </w:rPr>
              <w:t>05.12.2019 № 10.8-03/864</w:t>
            </w:r>
            <w:r>
              <w:rPr>
                <w:rFonts w:ascii="Times New Roman" w:hAnsi="Times New Roman" w:cs="Times New Roman"/>
                <w:b/>
                <w:sz w:val="24"/>
                <w:szCs w:val="24"/>
                <w:u w:val="single"/>
              </w:rPr>
              <w:fldChar w:fldCharType="end"/>
            </w:r>
            <w:bookmarkEnd w:id="0"/>
          </w:p>
        </w:tc>
      </w:tr>
      <w:tr w:rsidR="00D93803" w:rsidRPr="00EF5DC5" w:rsidTr="002602CF">
        <w:trPr>
          <w:trHeight w:val="312"/>
        </w:trPr>
        <w:tc>
          <w:tcPr>
            <w:tcW w:w="850" w:type="dxa"/>
          </w:tcPr>
          <w:p w:rsidR="00D93803" w:rsidRDefault="00D93803"/>
        </w:tc>
        <w:tc>
          <w:tcPr>
            <w:tcW w:w="9890" w:type="dxa"/>
            <w:shd w:val="clear" w:color="auto" w:fill="auto"/>
            <w:hideMark/>
          </w:tcPr>
          <w:p w:rsidR="00D93803" w:rsidRPr="00A56D74" w:rsidRDefault="00A56D74" w:rsidP="004E4663">
            <w:pPr>
              <w:spacing w:after="0"/>
              <w:jc w:val="center"/>
              <w:rPr>
                <w:i/>
              </w:rPr>
            </w:pPr>
            <w:r w:rsidRPr="00A56D74">
              <w:rPr>
                <w:b/>
                <w:i/>
                <w:sz w:val="18"/>
                <w:szCs w:val="18"/>
              </w:rPr>
              <w:t>Ссылка на данный номер обязательна!</w:t>
            </w:r>
          </w:p>
        </w:tc>
      </w:tr>
      <w:tr w:rsidR="002329D0" w:rsidRPr="00EF5DC5" w:rsidTr="002602CF">
        <w:trPr>
          <w:trHeight w:val="507"/>
        </w:trPr>
        <w:tc>
          <w:tcPr>
            <w:tcW w:w="850" w:type="dxa"/>
            <w:vMerge w:val="restart"/>
          </w:tcPr>
          <w:p w:rsidR="002329D0" w:rsidRDefault="002329D0" w:rsidP="002329D0">
            <w:pPr>
              <w:spacing w:after="0"/>
              <w:jc w:val="center"/>
              <w:rPr>
                <w:rFonts w:ascii="Times New Roman" w:hAnsi="Times New Roman" w:cs="Times New Roman"/>
                <w:b/>
                <w:caps/>
                <w:sz w:val="28"/>
              </w:rPr>
            </w:pPr>
          </w:p>
        </w:tc>
        <w:tc>
          <w:tcPr>
            <w:tcW w:w="9890" w:type="dxa"/>
            <w:shd w:val="clear" w:color="auto" w:fill="auto"/>
            <w:hideMark/>
          </w:tcPr>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2602CF">
        <w:trPr>
          <w:trHeight w:val="697"/>
        </w:trPr>
        <w:tc>
          <w:tcPr>
            <w:tcW w:w="850" w:type="dxa"/>
            <w:vMerge/>
          </w:tcPr>
          <w:p w:rsidR="002329D0" w:rsidRDefault="002329D0" w:rsidP="002329D0">
            <w:pPr>
              <w:spacing w:after="0"/>
              <w:jc w:val="center"/>
              <w:rPr>
                <w:rFonts w:ascii="Times New Roman" w:hAnsi="Times New Roman" w:cs="Times New Roman"/>
                <w:b/>
                <w:caps/>
                <w:sz w:val="28"/>
              </w:rPr>
            </w:pPr>
          </w:p>
        </w:tc>
        <w:tc>
          <w:tcPr>
            <w:tcW w:w="9890" w:type="dxa"/>
            <w:shd w:val="clear" w:color="auto" w:fill="F2F2F2" w:themeFill="background1" w:themeFillShade="F2"/>
          </w:tcPr>
          <w:p w:rsidR="002329D0" w:rsidRPr="009B40C9" w:rsidRDefault="0027397C" w:rsidP="0027397C">
            <w:pPr>
              <w:spacing w:after="0"/>
              <w:jc w:val="center"/>
              <w:rPr>
                <w:rFonts w:ascii="Times New Roman" w:hAnsi="Times New Roman" w:cs="Times New Roman"/>
                <w:i/>
                <w:sz w:val="28"/>
                <w:szCs w:val="28"/>
              </w:rPr>
            </w:pPr>
            <w:r w:rsidRPr="009B40C9">
              <w:rPr>
                <w:rFonts w:ascii="Times New Roman" w:hAnsi="Times New Roman" w:cs="Times New Roman"/>
                <w:i/>
                <w:sz w:val="28"/>
                <w:szCs w:val="28"/>
              </w:rPr>
              <w:fldChar w:fldCharType="begin">
                <w:ffData>
                  <w:name w:val="Заголовок"/>
                  <w:enabled/>
                  <w:calcOnExit w:val="0"/>
                  <w:textInput>
                    <w:default w:val="Наименование"/>
                  </w:textInput>
                </w:ffData>
              </w:fldChar>
            </w:r>
            <w:bookmarkStart w:id="1" w:name="Заголовок"/>
            <w:r w:rsidRPr="009B40C9">
              <w:rPr>
                <w:rFonts w:ascii="Times New Roman" w:hAnsi="Times New Roman" w:cs="Times New Roman"/>
                <w:i/>
                <w:sz w:val="28"/>
                <w:szCs w:val="28"/>
              </w:rPr>
              <w:instrText xml:space="preserve"> FORMTEXT </w:instrText>
            </w:r>
            <w:r w:rsidRPr="009B40C9">
              <w:rPr>
                <w:rFonts w:ascii="Times New Roman" w:hAnsi="Times New Roman" w:cs="Times New Roman"/>
                <w:i/>
                <w:sz w:val="28"/>
                <w:szCs w:val="28"/>
              </w:rPr>
            </w:r>
            <w:r w:rsidRPr="009B40C9">
              <w:rPr>
                <w:rFonts w:ascii="Times New Roman" w:hAnsi="Times New Roman" w:cs="Times New Roman"/>
                <w:i/>
                <w:sz w:val="28"/>
                <w:szCs w:val="28"/>
              </w:rPr>
              <w:fldChar w:fldCharType="separate"/>
            </w:r>
            <w:r w:rsidRPr="009B40C9">
              <w:rPr>
                <w:rFonts w:ascii="Times New Roman" w:hAnsi="Times New Roman" w:cs="Times New Roman"/>
                <w:i/>
                <w:sz w:val="28"/>
                <w:szCs w:val="28"/>
              </w:rPr>
              <w:t>Поставка воды питьевой бутилированной</w:t>
            </w:r>
            <w:r w:rsidRPr="009B40C9">
              <w:rPr>
                <w:rFonts w:ascii="Times New Roman" w:hAnsi="Times New Roman" w:cs="Times New Roman"/>
                <w:i/>
                <w:sz w:val="28"/>
                <w:szCs w:val="28"/>
              </w:rPr>
              <w:fldChar w:fldCharType="end"/>
            </w:r>
            <w:bookmarkEnd w:id="1"/>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30" w:type="dxa"/>
        <w:tblInd w:w="-426" w:type="dxa"/>
        <w:tblLook w:val="04A0" w:firstRow="1" w:lastRow="0" w:firstColumn="1" w:lastColumn="0" w:noHBand="0" w:noVBand="1"/>
      </w:tblPr>
      <w:tblGrid>
        <w:gridCol w:w="4510"/>
        <w:gridCol w:w="5820"/>
      </w:tblGrid>
      <w:tr w:rsidR="00B215F4" w:rsidRPr="00E961F8" w:rsidTr="00CD1926">
        <w:trPr>
          <w:trHeight w:val="267"/>
        </w:trPr>
        <w:tc>
          <w:tcPr>
            <w:tcW w:w="4510" w:type="dxa"/>
          </w:tcPr>
          <w:p w:rsidR="00B215F4" w:rsidRPr="00E961F8" w:rsidRDefault="00B215F4" w:rsidP="00CD1926">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20" w:type="dxa"/>
          </w:tcPr>
          <w:p w:rsidR="00B215F4" w:rsidRPr="00E961F8" w:rsidRDefault="00B215F4" w:rsidP="00CD1926">
            <w:pPr>
              <w:ind w:right="-1"/>
              <w:rPr>
                <w:rFonts w:ascii="Times New Roman" w:hAnsi="Times New Roman" w:cs="Times New Roman"/>
              </w:rPr>
            </w:pPr>
            <w:r>
              <w:rPr>
                <w:rFonts w:ascii="Times New Roman" w:hAnsi="Times New Roman" w:cs="Times New Roman"/>
              </w:rPr>
              <w:t>Санкт-Петербург, пос. Песочный, ул. Ленинградская, д.68</w:t>
            </w:r>
          </w:p>
        </w:tc>
      </w:tr>
      <w:tr w:rsidR="00B215F4" w:rsidRPr="008252D7" w:rsidTr="00CD1926">
        <w:trPr>
          <w:trHeight w:val="284"/>
        </w:trPr>
        <w:tc>
          <w:tcPr>
            <w:tcW w:w="4510" w:type="dxa"/>
          </w:tcPr>
          <w:p w:rsidR="00B215F4" w:rsidRPr="008252D7" w:rsidRDefault="00B215F4" w:rsidP="00CD1926">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20" w:type="dxa"/>
          </w:tcPr>
          <w:p w:rsidR="00B215F4" w:rsidRPr="008252D7" w:rsidRDefault="00B215F4" w:rsidP="00CD1926">
            <w:pPr>
              <w:ind w:right="-1"/>
              <w:rPr>
                <w:rFonts w:ascii="Times New Roman" w:hAnsi="Times New Roman" w:cs="Times New Roman"/>
              </w:rPr>
            </w:pPr>
            <w:r w:rsidRPr="008012B9">
              <w:rPr>
                <w:rFonts w:ascii="Times New Roman" w:hAnsi="Times New Roman" w:cs="Times New Roman"/>
                <w:highlight w:val="yellow"/>
              </w:rPr>
              <w:t>Декабрь 2019 г.</w:t>
            </w:r>
          </w:p>
        </w:tc>
      </w:tr>
      <w:tr w:rsidR="00B215F4" w:rsidRPr="008252D7" w:rsidTr="00EF18B4">
        <w:trPr>
          <w:trHeight w:val="1364"/>
        </w:trPr>
        <w:tc>
          <w:tcPr>
            <w:tcW w:w="4510" w:type="dxa"/>
          </w:tcPr>
          <w:p w:rsidR="00B215F4" w:rsidRPr="008252D7" w:rsidRDefault="00B215F4" w:rsidP="00CD1926">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20" w:type="dxa"/>
          </w:tcPr>
          <w:p w:rsidR="00EF18B4" w:rsidRDefault="00EF18B4" w:rsidP="00CD1926">
            <w:pPr>
              <w:ind w:right="-1"/>
              <w:jc w:val="center"/>
              <w:rPr>
                <w:rFonts w:ascii="Times New Roman" w:hAnsi="Times New Roman" w:cs="Times New Roman"/>
              </w:rPr>
            </w:pPr>
            <w:r w:rsidRPr="00EF18B4">
              <w:rPr>
                <w:rFonts w:ascii="Times New Roman" w:hAnsi="Times New Roman" w:cs="Times New Roman"/>
              </w:rPr>
              <w:t xml:space="preserve">Поставка товара в течение 2 (двух) рабочих дней с момента поступления Заявки от Заказчика. </w:t>
            </w:r>
          </w:p>
          <w:p w:rsidR="00B215F4" w:rsidRDefault="00B215F4" w:rsidP="00CD1926">
            <w:pPr>
              <w:ind w:right="-1"/>
              <w:jc w:val="center"/>
              <w:rPr>
                <w:rFonts w:ascii="Times New Roman" w:hAnsi="Times New Roman" w:cs="Times New Roman"/>
              </w:rPr>
            </w:pPr>
            <w:r w:rsidRPr="007559A7">
              <w:rPr>
                <w:rFonts w:ascii="Times New Roman" w:hAnsi="Times New Roman" w:cs="Times New Roman"/>
              </w:rPr>
              <w:t>Приемка-передача Товара осуществляется по рабочим дням с 10:00 до 14:00.</w:t>
            </w:r>
          </w:p>
          <w:p w:rsidR="00B215F4" w:rsidRPr="008252D7" w:rsidRDefault="00B215F4" w:rsidP="00CD1926">
            <w:pPr>
              <w:ind w:right="-1"/>
              <w:jc w:val="center"/>
              <w:rPr>
                <w:rFonts w:ascii="Times New Roman" w:hAnsi="Times New Roman" w:cs="Times New Roman"/>
              </w:rPr>
            </w:pPr>
            <w:r w:rsidRPr="00984614">
              <w:rPr>
                <w:rFonts w:ascii="Times New Roman" w:hAnsi="Times New Roman" w:cs="Times New Roman"/>
              </w:rPr>
              <w:t>Последний</w:t>
            </w:r>
            <w:r>
              <w:rPr>
                <w:rFonts w:ascii="Times New Roman" w:hAnsi="Times New Roman" w:cs="Times New Roman"/>
              </w:rPr>
              <w:t xml:space="preserve"> срок подачи заявки: </w:t>
            </w:r>
            <w:r w:rsidRPr="00C612D4">
              <w:rPr>
                <w:rFonts w:ascii="Times New Roman" w:hAnsi="Times New Roman" w:cs="Times New Roman"/>
                <w:b/>
                <w:highlight w:val="yellow"/>
              </w:rPr>
              <w:t>20.12</w:t>
            </w:r>
            <w:bookmarkStart w:id="2" w:name="_GoBack"/>
            <w:bookmarkEnd w:id="2"/>
            <w:r w:rsidRPr="00C612D4">
              <w:rPr>
                <w:rFonts w:ascii="Times New Roman" w:hAnsi="Times New Roman" w:cs="Times New Roman"/>
                <w:b/>
                <w:highlight w:val="yellow"/>
              </w:rPr>
              <w:t>.2019</w:t>
            </w:r>
          </w:p>
        </w:tc>
      </w:tr>
      <w:tr w:rsidR="00B215F4" w:rsidRPr="008252D7" w:rsidTr="00CD1926">
        <w:trPr>
          <w:trHeight w:val="4152"/>
        </w:trPr>
        <w:tc>
          <w:tcPr>
            <w:tcW w:w="4510" w:type="dxa"/>
          </w:tcPr>
          <w:p w:rsidR="00B215F4" w:rsidRDefault="00B215F4" w:rsidP="00CD1926">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Pr>
                <w:rFonts w:ascii="Times New Roman" w:hAnsi="Times New Roman" w:cs="Times New Roman"/>
              </w:rPr>
              <w:t xml:space="preserve"> / услуги</w:t>
            </w:r>
            <w:r w:rsidRPr="006474B5">
              <w:rPr>
                <w:rFonts w:ascii="Times New Roman" w:hAnsi="Times New Roman" w:cs="Times New Roman"/>
              </w:rPr>
              <w:t>)</w:t>
            </w:r>
          </w:p>
        </w:tc>
        <w:tc>
          <w:tcPr>
            <w:tcW w:w="5820" w:type="dxa"/>
          </w:tcPr>
          <w:p w:rsidR="00B215F4" w:rsidRPr="00DD53BE" w:rsidRDefault="00B215F4" w:rsidP="00B215F4">
            <w:pPr>
              <w:numPr>
                <w:ilvl w:val="0"/>
                <w:numId w:val="16"/>
              </w:numPr>
              <w:tabs>
                <w:tab w:val="left" w:pos="743"/>
              </w:tabs>
              <w:ind w:left="34" w:firstLine="326"/>
              <w:contextualSpacing/>
              <w:jc w:val="both"/>
              <w:rPr>
                <w:rFonts w:ascii="Times New Roman" w:eastAsia="Times New Roman" w:hAnsi="Times New Roman" w:cs="Times New Roman"/>
              </w:rPr>
            </w:pPr>
            <w:r w:rsidRPr="00DD53BE">
              <w:rPr>
                <w:rFonts w:ascii="Times New Roman" w:eastAsia="Times New Roman" w:hAnsi="Times New Roman" w:cs="Times New Roman"/>
              </w:rPr>
              <w:t xml:space="preserve">стоимость товара; </w:t>
            </w:r>
          </w:p>
          <w:p w:rsidR="00B215F4" w:rsidRPr="00DD53BE" w:rsidRDefault="00B215F4" w:rsidP="00B215F4">
            <w:pPr>
              <w:numPr>
                <w:ilvl w:val="0"/>
                <w:numId w:val="16"/>
              </w:numPr>
              <w:tabs>
                <w:tab w:val="left" w:pos="743"/>
              </w:tabs>
              <w:ind w:left="34" w:firstLine="326"/>
              <w:contextualSpacing/>
              <w:jc w:val="both"/>
              <w:rPr>
                <w:rFonts w:ascii="Times New Roman" w:eastAsia="Times New Roman" w:hAnsi="Times New Roman" w:cs="Times New Roman"/>
              </w:rPr>
            </w:pPr>
            <w:r w:rsidRPr="00DD53BE">
              <w:rPr>
                <w:rFonts w:ascii="Times New Roman" w:eastAsia="Times New Roman" w:hAnsi="Times New Roman" w:cs="Times New Roman"/>
              </w:rPr>
              <w:t>стоимость упаковки товара;</w:t>
            </w:r>
          </w:p>
          <w:p w:rsidR="00B215F4" w:rsidRPr="00DD53BE" w:rsidRDefault="00B215F4" w:rsidP="00B215F4">
            <w:pPr>
              <w:numPr>
                <w:ilvl w:val="0"/>
                <w:numId w:val="16"/>
              </w:numPr>
              <w:tabs>
                <w:tab w:val="left" w:pos="743"/>
              </w:tabs>
              <w:ind w:left="34" w:firstLine="326"/>
              <w:contextualSpacing/>
              <w:jc w:val="both"/>
              <w:rPr>
                <w:rFonts w:ascii="Times New Roman" w:eastAsia="Times New Roman" w:hAnsi="Times New Roman" w:cs="Times New Roman"/>
              </w:rPr>
            </w:pPr>
            <w:r w:rsidRPr="00DD53BE">
              <w:rPr>
                <w:rFonts w:ascii="Times New Roman" w:eastAsia="Times New Roman" w:hAnsi="Times New Roman" w:cs="Times New Roman"/>
              </w:rPr>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B215F4" w:rsidRPr="00EB658B" w:rsidRDefault="00B215F4" w:rsidP="00B215F4">
            <w:pPr>
              <w:pStyle w:val="a7"/>
              <w:numPr>
                <w:ilvl w:val="0"/>
                <w:numId w:val="16"/>
              </w:numPr>
              <w:tabs>
                <w:tab w:val="left" w:pos="743"/>
              </w:tabs>
              <w:spacing w:after="200" w:line="276" w:lineRule="auto"/>
              <w:ind w:left="34" w:firstLine="326"/>
              <w:rPr>
                <w:rFonts w:ascii="Times New Roman" w:hAnsi="Times New Roman" w:cs="Times New Roman"/>
              </w:rPr>
            </w:pPr>
            <w:r w:rsidRPr="00DD53BE">
              <w:rPr>
                <w:rFonts w:ascii="Times New Roman" w:eastAsia="Times New Roman" w:hAnsi="Times New Roman" w:cs="Times New Roman"/>
              </w:rPr>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 все иные прямые и косвенные накладные расходы поставщика, связанные с поставкой товара и необходимые для надлежащего выполнения обязательств.</w:t>
            </w:r>
          </w:p>
        </w:tc>
      </w:tr>
      <w:tr w:rsidR="00B215F4" w:rsidRPr="008252D7" w:rsidTr="00CD1926">
        <w:trPr>
          <w:trHeight w:val="567"/>
        </w:trPr>
        <w:tc>
          <w:tcPr>
            <w:tcW w:w="4510" w:type="dxa"/>
          </w:tcPr>
          <w:p w:rsidR="00B215F4" w:rsidRDefault="00B215F4" w:rsidP="00CD1926">
            <w:pPr>
              <w:ind w:right="-1"/>
              <w:rPr>
                <w:rFonts w:ascii="Times New Roman" w:hAnsi="Times New Roman" w:cs="Times New Roman"/>
              </w:rPr>
            </w:pPr>
            <w:r w:rsidRPr="006474B5">
              <w:rPr>
                <w:rFonts w:ascii="Times New Roman" w:hAnsi="Times New Roman" w:cs="Times New Roman"/>
              </w:rPr>
              <w:t>Максимальное количество партий товара</w:t>
            </w:r>
            <w:r>
              <w:rPr>
                <w:rFonts w:ascii="Times New Roman" w:hAnsi="Times New Roman" w:cs="Times New Roman"/>
              </w:rPr>
              <w:t xml:space="preserve"> / этапов выполнения работ</w:t>
            </w:r>
          </w:p>
        </w:tc>
        <w:tc>
          <w:tcPr>
            <w:tcW w:w="5820" w:type="dxa"/>
            <w:vAlign w:val="center"/>
          </w:tcPr>
          <w:p w:rsidR="00B215F4" w:rsidRPr="008012B9" w:rsidRDefault="00B215F4" w:rsidP="00CD1926">
            <w:pPr>
              <w:ind w:right="-1"/>
              <w:jc w:val="center"/>
              <w:rPr>
                <w:rFonts w:ascii="Times New Roman" w:hAnsi="Times New Roman" w:cs="Times New Roman"/>
                <w:highlight w:val="yellow"/>
              </w:rPr>
            </w:pPr>
            <w:r>
              <w:rPr>
                <w:rFonts w:ascii="Times New Roman" w:hAnsi="Times New Roman" w:cs="Times New Roman"/>
                <w:highlight w:val="yellow"/>
              </w:rPr>
              <w:t>Не более 3</w:t>
            </w:r>
            <w:r w:rsidRPr="008012B9">
              <w:rPr>
                <w:rFonts w:ascii="Times New Roman" w:hAnsi="Times New Roman" w:cs="Times New Roman"/>
                <w:highlight w:val="yellow"/>
              </w:rPr>
              <w:t xml:space="preserve"> партий</w:t>
            </w:r>
          </w:p>
        </w:tc>
      </w:tr>
      <w:tr w:rsidR="00B215F4" w:rsidRPr="008252D7" w:rsidTr="00CD1926">
        <w:trPr>
          <w:trHeight w:val="551"/>
        </w:trPr>
        <w:tc>
          <w:tcPr>
            <w:tcW w:w="4510" w:type="dxa"/>
          </w:tcPr>
          <w:p w:rsidR="00B215F4" w:rsidRPr="008252D7" w:rsidRDefault="00B215F4" w:rsidP="00CD1926">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20" w:type="dxa"/>
          </w:tcPr>
          <w:p w:rsidR="00B215F4" w:rsidRPr="008252D7" w:rsidRDefault="00B215F4" w:rsidP="00CD1926">
            <w:pPr>
              <w:ind w:right="-1"/>
              <w:jc w:val="center"/>
              <w:rPr>
                <w:rFonts w:ascii="Times New Roman" w:hAnsi="Times New Roman" w:cs="Times New Roman"/>
              </w:rPr>
            </w:pPr>
            <w:r w:rsidRPr="00280E31">
              <w:rPr>
                <w:rFonts w:ascii="Times New Roman" w:hAnsi="Times New Roman" w:cs="Times New Roman"/>
              </w:rPr>
              <w:t>Документы, подтверждающие качество и безопасность продукции (сертификаты соответствия на товары)</w:t>
            </w:r>
          </w:p>
        </w:tc>
      </w:tr>
      <w:tr w:rsidR="00B215F4" w:rsidRPr="008252D7" w:rsidTr="00CD1926">
        <w:trPr>
          <w:trHeight w:val="850"/>
        </w:trPr>
        <w:tc>
          <w:tcPr>
            <w:tcW w:w="4510" w:type="dxa"/>
          </w:tcPr>
          <w:p w:rsidR="00B215F4" w:rsidRDefault="00B215F4" w:rsidP="00CD1926">
            <w:pPr>
              <w:ind w:right="-1"/>
              <w:rPr>
                <w:rFonts w:ascii="Times New Roman" w:hAnsi="Times New Roman" w:cs="Times New Roman"/>
              </w:rPr>
            </w:pPr>
            <w:r>
              <w:rPr>
                <w:rFonts w:ascii="Times New Roman" w:hAnsi="Times New Roman" w:cs="Times New Roman"/>
              </w:rPr>
              <w:t>П</w:t>
            </w:r>
            <w:r w:rsidRPr="00204D4E">
              <w:rPr>
                <w:rFonts w:ascii="Times New Roman" w:hAnsi="Times New Roman" w:cs="Times New Roman"/>
              </w:rPr>
              <w:t>орядок и сроки оплаты</w:t>
            </w:r>
          </w:p>
        </w:tc>
        <w:tc>
          <w:tcPr>
            <w:tcW w:w="5820" w:type="dxa"/>
            <w:vAlign w:val="center"/>
          </w:tcPr>
          <w:p w:rsidR="00B215F4" w:rsidRPr="008252D7" w:rsidRDefault="00B215F4" w:rsidP="00CD1926">
            <w:pPr>
              <w:ind w:right="-1"/>
              <w:jc w:val="center"/>
              <w:rPr>
                <w:rFonts w:ascii="Times New Roman" w:hAnsi="Times New Roman" w:cs="Times New Roman"/>
              </w:rPr>
            </w:pPr>
            <w:r w:rsidRPr="00D67DC3">
              <w:rPr>
                <w:rFonts w:ascii="Times New Roman" w:hAnsi="Times New Roman" w:cs="Times New Roman"/>
                <w:highlight w:val="yellow"/>
              </w:rPr>
              <w:t xml:space="preserve">В течение </w:t>
            </w:r>
            <w:r w:rsidRPr="00C612D4">
              <w:rPr>
                <w:rFonts w:ascii="Times New Roman" w:hAnsi="Times New Roman" w:cs="Times New Roman"/>
                <w:b/>
                <w:highlight w:val="yellow"/>
              </w:rPr>
              <w:t>3</w:t>
            </w:r>
            <w:r>
              <w:rPr>
                <w:rFonts w:ascii="Times New Roman" w:hAnsi="Times New Roman" w:cs="Times New Roman"/>
                <w:b/>
                <w:highlight w:val="yellow"/>
              </w:rPr>
              <w:t>-х</w:t>
            </w:r>
            <w:r w:rsidRPr="00D67DC3">
              <w:rPr>
                <w:rFonts w:ascii="Times New Roman" w:hAnsi="Times New Roman" w:cs="Times New Roman"/>
                <w:highlight w:val="yellow"/>
              </w:rPr>
              <w:t xml:space="preserve"> </w:t>
            </w:r>
            <w:r w:rsidRPr="00C612D4">
              <w:rPr>
                <w:rFonts w:ascii="Times New Roman" w:hAnsi="Times New Roman" w:cs="Times New Roman"/>
                <w:highlight w:val="yellow"/>
              </w:rPr>
              <w:t>рабочих дней</w:t>
            </w:r>
            <w:r w:rsidRPr="00D67DC3">
              <w:rPr>
                <w:rFonts w:ascii="Times New Roman" w:hAnsi="Times New Roman" w:cs="Times New Roman"/>
                <w:highlight w:val="yellow"/>
              </w:rPr>
              <w:t xml:space="preserve"> с момента подписания УПД.</w:t>
            </w:r>
          </w:p>
        </w:tc>
      </w:tr>
      <w:tr w:rsidR="00B215F4" w:rsidRPr="008252D7" w:rsidTr="00CD1926">
        <w:trPr>
          <w:trHeight w:val="777"/>
        </w:trPr>
        <w:tc>
          <w:tcPr>
            <w:tcW w:w="4510" w:type="dxa"/>
            <w:vAlign w:val="center"/>
          </w:tcPr>
          <w:p w:rsidR="00B215F4" w:rsidRPr="00204D4E" w:rsidRDefault="00B215F4" w:rsidP="00CD1926">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20" w:type="dxa"/>
            <w:vAlign w:val="center"/>
          </w:tcPr>
          <w:p w:rsidR="00B215F4" w:rsidRPr="00651759" w:rsidRDefault="00B215F4" w:rsidP="00CD1926">
            <w:pPr>
              <w:ind w:right="-1"/>
              <w:rPr>
                <w:rFonts w:ascii="Times New Roman" w:hAnsi="Times New Roman" w:cs="Times New Roman"/>
                <w:b/>
                <w:sz w:val="24"/>
                <w:szCs w:val="24"/>
                <w:u w:val="single"/>
              </w:rPr>
            </w:pPr>
            <w:r w:rsidRPr="00651759">
              <w:rPr>
                <w:rFonts w:ascii="Times New Roman" w:hAnsi="Times New Roman" w:cs="Times New Roman"/>
                <w:b/>
                <w:sz w:val="24"/>
                <w:szCs w:val="24"/>
                <w:highlight w:val="lightGray"/>
                <w:u w:val="single"/>
              </w:rPr>
              <w:t>09.12.2019</w:t>
            </w:r>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204D4E" w:rsidRDefault="00204D4E" w:rsidP="00E961F8">
      <w:pPr>
        <w:ind w:left="-426" w:right="-1" w:firstLine="568"/>
        <w:jc w:val="center"/>
        <w:rPr>
          <w:rFonts w:ascii="Times New Roman" w:hAnsi="Times New Roman" w:cs="Times New Roman"/>
          <w:b/>
          <w:sz w:val="28"/>
          <w:szCs w:val="28"/>
        </w:rPr>
      </w:pPr>
    </w:p>
    <w:p w:rsidR="00585F05" w:rsidRPr="008D415A" w:rsidRDefault="00E961F8" w:rsidP="00E961F8">
      <w:pPr>
        <w:ind w:left="-426" w:right="-1" w:firstLine="568"/>
        <w:jc w:val="center"/>
        <w:rPr>
          <w:rFonts w:ascii="Times New Roman" w:hAnsi="Times New Roman" w:cs="Times New Roman"/>
          <w:sz w:val="24"/>
          <w:szCs w:val="24"/>
        </w:rPr>
      </w:pPr>
      <w:r>
        <w:rPr>
          <w:rFonts w:ascii="Times New Roman" w:hAnsi="Times New Roman" w:cs="Times New Roman"/>
          <w:b/>
          <w:sz w:val="28"/>
          <w:szCs w:val="28"/>
        </w:rPr>
        <w:t>Спецификация</w:t>
      </w:r>
    </w:p>
    <w:tbl>
      <w:tblPr>
        <w:tblW w:w="5871" w:type="pct"/>
        <w:tblInd w:w="-1066" w:type="dxa"/>
        <w:tblLayout w:type="fixed"/>
        <w:tblLook w:val="04A0" w:firstRow="1" w:lastRow="0" w:firstColumn="1" w:lastColumn="0" w:noHBand="0" w:noVBand="1"/>
      </w:tblPr>
      <w:tblGrid>
        <w:gridCol w:w="466"/>
        <w:gridCol w:w="1853"/>
        <w:gridCol w:w="4255"/>
        <w:gridCol w:w="710"/>
        <w:gridCol w:w="841"/>
        <w:gridCol w:w="987"/>
        <w:gridCol w:w="1135"/>
        <w:gridCol w:w="991"/>
      </w:tblGrid>
      <w:tr w:rsidR="00EF18B4" w:rsidRPr="007102F7" w:rsidTr="00EF18B4">
        <w:tc>
          <w:tcPr>
            <w:tcW w:w="207" w:type="pct"/>
            <w:tcBorders>
              <w:top w:val="single" w:sz="4" w:space="0" w:color="auto"/>
              <w:left w:val="single" w:sz="4" w:space="0" w:color="auto"/>
              <w:bottom w:val="single" w:sz="4" w:space="0" w:color="auto"/>
              <w:right w:val="single" w:sz="4" w:space="0" w:color="auto"/>
            </w:tcBorders>
            <w:shd w:val="clear" w:color="FFFFFF" w:fill="auto"/>
            <w:vAlign w:val="center"/>
          </w:tcPr>
          <w:p w:rsidR="00EF18B4" w:rsidRPr="007102F7" w:rsidRDefault="00EF18B4" w:rsidP="00CD1926">
            <w:pPr>
              <w:spacing w:after="160" w:line="259" w:lineRule="auto"/>
              <w:rPr>
                <w:rFonts w:ascii="Times New Roman" w:eastAsia="Calibri" w:hAnsi="Times New Roman" w:cs="Times New Roman"/>
                <w:b/>
              </w:rPr>
            </w:pPr>
            <w:r w:rsidRPr="007102F7">
              <w:rPr>
                <w:rFonts w:ascii="Times New Roman" w:eastAsia="Calibri" w:hAnsi="Times New Roman" w:cs="Times New Roman"/>
                <w:b/>
              </w:rPr>
              <w:t>№</w:t>
            </w:r>
          </w:p>
        </w:tc>
        <w:tc>
          <w:tcPr>
            <w:tcW w:w="824" w:type="pct"/>
            <w:tcBorders>
              <w:top w:val="single" w:sz="4" w:space="0" w:color="auto"/>
              <w:left w:val="single" w:sz="4" w:space="0" w:color="auto"/>
              <w:bottom w:val="single" w:sz="4" w:space="0" w:color="auto"/>
            </w:tcBorders>
            <w:shd w:val="clear" w:color="FFFFFF" w:fill="auto"/>
            <w:vAlign w:val="center"/>
          </w:tcPr>
          <w:p w:rsidR="00EF18B4" w:rsidRPr="007102F7" w:rsidRDefault="00EF18B4" w:rsidP="00CD1926">
            <w:pPr>
              <w:spacing w:after="160" w:line="259" w:lineRule="auto"/>
              <w:jc w:val="center"/>
              <w:rPr>
                <w:rFonts w:ascii="Times New Roman" w:eastAsia="Calibri" w:hAnsi="Times New Roman" w:cs="Times New Roman"/>
                <w:b/>
              </w:rPr>
            </w:pPr>
            <w:r w:rsidRPr="007102F7">
              <w:rPr>
                <w:rFonts w:ascii="Times New Roman" w:eastAsia="Calibri" w:hAnsi="Times New Roman" w:cs="Times New Roman"/>
                <w:b/>
              </w:rPr>
              <w:t>Наименование</w:t>
            </w:r>
          </w:p>
        </w:tc>
        <w:tc>
          <w:tcPr>
            <w:tcW w:w="1893" w:type="pct"/>
            <w:tcBorders>
              <w:top w:val="single" w:sz="4" w:space="0" w:color="auto"/>
              <w:left w:val="single" w:sz="4" w:space="0" w:color="auto"/>
              <w:bottom w:val="single" w:sz="4" w:space="0" w:color="auto"/>
              <w:right w:val="single" w:sz="4" w:space="0" w:color="auto"/>
            </w:tcBorders>
            <w:shd w:val="clear" w:color="FFFFFF" w:fill="auto"/>
            <w:vAlign w:val="center"/>
          </w:tcPr>
          <w:p w:rsidR="00EF18B4" w:rsidRPr="007102F7" w:rsidRDefault="00EF18B4" w:rsidP="00CD1926">
            <w:pPr>
              <w:spacing w:after="160" w:line="259" w:lineRule="auto"/>
              <w:jc w:val="center"/>
              <w:rPr>
                <w:rFonts w:ascii="Times New Roman" w:eastAsia="Calibri" w:hAnsi="Times New Roman" w:cs="Times New Roman"/>
                <w:b/>
              </w:rPr>
            </w:pPr>
            <w:r w:rsidRPr="007102F7">
              <w:rPr>
                <w:rFonts w:ascii="Times New Roman" w:eastAsia="Calibri" w:hAnsi="Times New Roman" w:cs="Times New Roman"/>
                <w:b/>
              </w:rPr>
              <w:t>Технические характеристики</w:t>
            </w:r>
          </w:p>
        </w:tc>
        <w:tc>
          <w:tcPr>
            <w:tcW w:w="316" w:type="pct"/>
            <w:tcBorders>
              <w:top w:val="single" w:sz="4" w:space="0" w:color="auto"/>
              <w:left w:val="single" w:sz="4" w:space="0" w:color="auto"/>
              <w:bottom w:val="single" w:sz="4" w:space="0" w:color="auto"/>
            </w:tcBorders>
            <w:shd w:val="clear" w:color="FFFFFF" w:fill="auto"/>
            <w:vAlign w:val="center"/>
          </w:tcPr>
          <w:p w:rsidR="00EF18B4" w:rsidRPr="007102F7" w:rsidRDefault="00EF18B4" w:rsidP="00CD1926">
            <w:pPr>
              <w:spacing w:after="160" w:line="259" w:lineRule="auto"/>
              <w:jc w:val="center"/>
              <w:rPr>
                <w:rFonts w:ascii="Times New Roman" w:eastAsia="Calibri" w:hAnsi="Times New Roman" w:cs="Times New Roman"/>
                <w:b/>
              </w:rPr>
            </w:pPr>
            <w:r w:rsidRPr="007102F7">
              <w:rPr>
                <w:rFonts w:ascii="Times New Roman" w:eastAsia="Calibri" w:hAnsi="Times New Roman" w:cs="Times New Roman"/>
                <w:b/>
              </w:rPr>
              <w:t>Ед. изм.</w:t>
            </w:r>
          </w:p>
        </w:tc>
        <w:tc>
          <w:tcPr>
            <w:tcW w:w="374" w:type="pct"/>
            <w:tcBorders>
              <w:top w:val="single" w:sz="4" w:space="0" w:color="auto"/>
              <w:left w:val="single" w:sz="4" w:space="0" w:color="auto"/>
              <w:bottom w:val="single" w:sz="4" w:space="0" w:color="auto"/>
              <w:right w:val="single" w:sz="4" w:space="0" w:color="auto"/>
            </w:tcBorders>
            <w:shd w:val="clear" w:color="FFFFFF" w:fill="auto"/>
            <w:vAlign w:val="center"/>
          </w:tcPr>
          <w:p w:rsidR="00EF18B4" w:rsidRPr="007102F7" w:rsidRDefault="00EF18B4" w:rsidP="00CD1926">
            <w:pPr>
              <w:spacing w:after="160" w:line="259" w:lineRule="auto"/>
              <w:jc w:val="center"/>
              <w:rPr>
                <w:rFonts w:ascii="Times New Roman" w:eastAsia="Calibri" w:hAnsi="Times New Roman" w:cs="Times New Roman"/>
                <w:b/>
              </w:rPr>
            </w:pPr>
            <w:r w:rsidRPr="007102F7">
              <w:rPr>
                <w:rFonts w:ascii="Times New Roman" w:eastAsia="Calibri" w:hAnsi="Times New Roman" w:cs="Times New Roman"/>
                <w:b/>
              </w:rPr>
              <w:t>Кол-во</w:t>
            </w:r>
          </w:p>
        </w:tc>
        <w:tc>
          <w:tcPr>
            <w:tcW w:w="439" w:type="pct"/>
            <w:tcBorders>
              <w:top w:val="single" w:sz="4" w:space="0" w:color="auto"/>
              <w:left w:val="single" w:sz="4" w:space="0" w:color="auto"/>
              <w:bottom w:val="single" w:sz="4" w:space="0" w:color="auto"/>
              <w:right w:val="single" w:sz="4" w:space="0" w:color="auto"/>
            </w:tcBorders>
            <w:shd w:val="clear" w:color="auto" w:fill="auto"/>
            <w:vAlign w:val="center"/>
          </w:tcPr>
          <w:p w:rsidR="00EF18B4" w:rsidRPr="007102F7" w:rsidRDefault="00EF18B4" w:rsidP="00CD1926">
            <w:pPr>
              <w:spacing w:after="160" w:line="259" w:lineRule="auto"/>
              <w:rPr>
                <w:rFonts w:ascii="Times New Roman" w:eastAsia="Calibri" w:hAnsi="Times New Roman" w:cs="Times New Roman"/>
                <w:b/>
              </w:rPr>
            </w:pPr>
            <w:r>
              <w:rPr>
                <w:rFonts w:ascii="Times New Roman" w:eastAsia="Calibri" w:hAnsi="Times New Roman" w:cs="Times New Roman"/>
                <w:b/>
              </w:rPr>
              <w:t>ОКПД2/КТРУ</w:t>
            </w:r>
          </w:p>
        </w:tc>
        <w:tc>
          <w:tcPr>
            <w:tcW w:w="505" w:type="pct"/>
            <w:tcBorders>
              <w:top w:val="single" w:sz="4" w:space="0" w:color="auto"/>
              <w:left w:val="single" w:sz="4" w:space="0" w:color="auto"/>
              <w:bottom w:val="single" w:sz="4" w:space="0" w:color="auto"/>
              <w:right w:val="single" w:sz="4" w:space="0" w:color="auto"/>
            </w:tcBorders>
            <w:shd w:val="clear" w:color="auto" w:fill="FFFF99"/>
            <w:vAlign w:val="center"/>
          </w:tcPr>
          <w:p w:rsidR="00EF18B4" w:rsidRPr="0099734C" w:rsidRDefault="00EF18B4" w:rsidP="00CD1926">
            <w:pPr>
              <w:spacing w:after="160" w:line="259" w:lineRule="auto"/>
              <w:jc w:val="center"/>
              <w:rPr>
                <w:rFonts w:ascii="Times New Roman" w:eastAsia="Calibri" w:hAnsi="Times New Roman" w:cs="Times New Roman"/>
                <w:b/>
              </w:rPr>
            </w:pPr>
            <w:r w:rsidRPr="007102F7">
              <w:rPr>
                <w:rFonts w:ascii="Times New Roman" w:eastAsia="Calibri" w:hAnsi="Times New Roman" w:cs="Times New Roman"/>
                <w:b/>
              </w:rPr>
              <w:t>Цена за ед.</w:t>
            </w:r>
            <w:r>
              <w:rPr>
                <w:rFonts w:ascii="Times New Roman" w:eastAsia="Calibri" w:hAnsi="Times New Roman" w:cs="Times New Roman"/>
                <w:b/>
              </w:rPr>
              <w:t xml:space="preserve"> с НДС</w:t>
            </w:r>
            <w:r w:rsidRPr="0099734C">
              <w:rPr>
                <w:rFonts w:ascii="Times New Roman" w:eastAsia="Calibri" w:hAnsi="Times New Roman" w:cs="Times New Roman"/>
                <w:b/>
              </w:rPr>
              <w:t xml:space="preserve"> </w:t>
            </w:r>
            <w:r>
              <w:rPr>
                <w:rFonts w:ascii="Times New Roman" w:eastAsia="Calibri" w:hAnsi="Times New Roman" w:cs="Times New Roman"/>
                <w:b/>
              </w:rPr>
              <w:t>(руб.)</w:t>
            </w:r>
          </w:p>
        </w:tc>
        <w:tc>
          <w:tcPr>
            <w:tcW w:w="441" w:type="pct"/>
            <w:tcBorders>
              <w:top w:val="single" w:sz="4" w:space="0" w:color="auto"/>
              <w:left w:val="single" w:sz="4" w:space="0" w:color="auto"/>
              <w:bottom w:val="single" w:sz="4" w:space="0" w:color="auto"/>
              <w:right w:val="single" w:sz="4" w:space="0" w:color="auto"/>
            </w:tcBorders>
            <w:shd w:val="clear" w:color="auto" w:fill="FFFF99"/>
            <w:vAlign w:val="center"/>
          </w:tcPr>
          <w:p w:rsidR="00EF18B4" w:rsidRPr="007102F7" w:rsidRDefault="00EF18B4" w:rsidP="00CD1926">
            <w:pPr>
              <w:spacing w:after="160" w:line="259" w:lineRule="auto"/>
              <w:jc w:val="center"/>
              <w:rPr>
                <w:rFonts w:ascii="Times New Roman" w:eastAsia="Calibri" w:hAnsi="Times New Roman" w:cs="Times New Roman"/>
                <w:b/>
              </w:rPr>
            </w:pPr>
            <w:r w:rsidRPr="007102F7">
              <w:rPr>
                <w:rFonts w:ascii="Times New Roman" w:eastAsia="Calibri" w:hAnsi="Times New Roman" w:cs="Times New Roman"/>
                <w:b/>
              </w:rPr>
              <w:t>Сумма</w:t>
            </w:r>
            <w:r>
              <w:rPr>
                <w:rFonts w:ascii="Times New Roman" w:eastAsia="Calibri" w:hAnsi="Times New Roman" w:cs="Times New Roman"/>
                <w:b/>
              </w:rPr>
              <w:t xml:space="preserve"> с НДС (руб.)</w:t>
            </w:r>
          </w:p>
        </w:tc>
      </w:tr>
      <w:tr w:rsidR="00EF18B4" w:rsidRPr="007102F7" w:rsidTr="00EF18B4">
        <w:tc>
          <w:tcPr>
            <w:tcW w:w="207" w:type="pct"/>
            <w:tcBorders>
              <w:top w:val="single" w:sz="4" w:space="0" w:color="auto"/>
              <w:left w:val="single" w:sz="4" w:space="0" w:color="auto"/>
              <w:bottom w:val="single" w:sz="4" w:space="0" w:color="auto"/>
              <w:right w:val="single" w:sz="4" w:space="0" w:color="auto"/>
            </w:tcBorders>
            <w:shd w:val="clear" w:color="FFFFFF" w:fill="auto"/>
            <w:vAlign w:val="center"/>
          </w:tcPr>
          <w:p w:rsidR="00EF18B4" w:rsidRPr="007102F7" w:rsidRDefault="00EF18B4" w:rsidP="00CD1926">
            <w:pPr>
              <w:spacing w:after="160" w:line="259" w:lineRule="auto"/>
              <w:jc w:val="center"/>
              <w:rPr>
                <w:rFonts w:ascii="Times New Roman" w:eastAsia="Calibri" w:hAnsi="Times New Roman" w:cs="Times New Roman"/>
              </w:rPr>
            </w:pPr>
            <w:r>
              <w:rPr>
                <w:rFonts w:ascii="Times New Roman" w:eastAsia="Calibri" w:hAnsi="Times New Roman" w:cs="Times New Roman"/>
              </w:rPr>
              <w:t>1</w:t>
            </w:r>
          </w:p>
        </w:tc>
        <w:tc>
          <w:tcPr>
            <w:tcW w:w="824" w:type="pct"/>
            <w:tcBorders>
              <w:top w:val="nil"/>
              <w:left w:val="single" w:sz="4" w:space="0" w:color="auto"/>
              <w:bottom w:val="single" w:sz="4" w:space="0" w:color="auto"/>
              <w:right w:val="single" w:sz="4" w:space="0" w:color="auto"/>
            </w:tcBorders>
            <w:shd w:val="clear" w:color="000000" w:fill="FFFFFF"/>
            <w:vAlign w:val="center"/>
          </w:tcPr>
          <w:p w:rsidR="00EF18B4" w:rsidRPr="006D6817" w:rsidRDefault="00EF18B4" w:rsidP="00CD1926">
            <w:pPr>
              <w:widowControl w:val="0"/>
              <w:autoSpaceDE w:val="0"/>
              <w:autoSpaceDN w:val="0"/>
              <w:adjustRightInd w:val="0"/>
              <w:spacing w:after="0"/>
              <w:rPr>
                <w:rFonts w:ascii="Times New Roman" w:hAnsi="Times New Roman"/>
              </w:rPr>
            </w:pPr>
            <w:r w:rsidRPr="006D6817">
              <w:rPr>
                <w:rFonts w:ascii="Times New Roman" w:hAnsi="Times New Roman"/>
              </w:rPr>
              <w:t>Вода питьева</w:t>
            </w:r>
            <w:r>
              <w:rPr>
                <w:rFonts w:ascii="Times New Roman" w:hAnsi="Times New Roman"/>
              </w:rPr>
              <w:t>я бутилированная</w:t>
            </w:r>
            <w:r w:rsidRPr="006D6817">
              <w:rPr>
                <w:rFonts w:ascii="Times New Roman" w:hAnsi="Times New Roman"/>
              </w:rPr>
              <w:t xml:space="preserve"> </w:t>
            </w:r>
          </w:p>
        </w:tc>
        <w:tc>
          <w:tcPr>
            <w:tcW w:w="1893" w:type="pct"/>
            <w:tcBorders>
              <w:top w:val="single" w:sz="4" w:space="0" w:color="auto"/>
              <w:left w:val="single" w:sz="4" w:space="0" w:color="auto"/>
              <w:bottom w:val="single" w:sz="4" w:space="0" w:color="auto"/>
              <w:right w:val="single" w:sz="4" w:space="0" w:color="auto"/>
            </w:tcBorders>
          </w:tcPr>
          <w:p w:rsidR="00EF18B4" w:rsidRDefault="00EF18B4" w:rsidP="00CD1926">
            <w:pPr>
              <w:shd w:val="clear" w:color="auto" w:fill="FFFFFF"/>
              <w:spacing w:before="100" w:beforeAutospacing="1" w:after="100" w:afterAutospacing="1" w:line="240" w:lineRule="auto"/>
              <w:textAlignment w:val="baseline"/>
              <w:rPr>
                <w:rFonts w:ascii="Times New Roman" w:eastAsia="Times New Roman" w:hAnsi="Times New Roman" w:cs="Times New Roman"/>
                <w:lang w:eastAsia="ru-RU"/>
              </w:rPr>
            </w:pPr>
            <w:r w:rsidRPr="00CD20F7">
              <w:rPr>
                <w:rFonts w:ascii="Times New Roman" w:eastAsia="Times New Roman" w:hAnsi="Times New Roman" w:cs="Times New Roman"/>
                <w:lang w:eastAsia="ru-RU"/>
              </w:rPr>
              <w:t>Вода должна быть питьевая, природная, артезианская, бутилированная, первой категории, негазированная, прозрачного цвета, без осадка. Вода должна быть безопасна для здоровья и полностью соответствовать критериям благоприятности органолептических свойств, безопасности в эпидемическом и радиационном отношении, безвредности химического состава и стабильно сохраняющая свои высокие питьевые свойства в течение всего срока годности. Не должна</w:t>
            </w:r>
            <w:r>
              <w:rPr>
                <w:rFonts w:ascii="Times New Roman" w:eastAsia="Times New Roman" w:hAnsi="Times New Roman" w:cs="Times New Roman"/>
                <w:lang w:eastAsia="ru-RU"/>
              </w:rPr>
              <w:t xml:space="preserve"> содержать токсичные элементы. Вода д</w:t>
            </w:r>
            <w:r w:rsidRPr="00CD20F7">
              <w:rPr>
                <w:rFonts w:ascii="Times New Roman" w:eastAsia="Times New Roman" w:hAnsi="Times New Roman" w:cs="Times New Roman"/>
                <w:lang w:eastAsia="ru-RU"/>
              </w:rPr>
              <w:t>олжна быть пригодна для использования в сыром виде, для употребления в качестве напитка и приготовления пищи. По гигиеническим показателям и показателям безопасности продукции вода должна соответствовать требованиям Технического регламента Таможенного союза ТР ТС 021/2011 «О безопасности пищевой продукции» ТР ТС 022/2011 «Пищевая продукция в части ее маркировки». </w:t>
            </w:r>
          </w:p>
          <w:p w:rsidR="00EF18B4" w:rsidRDefault="00EF18B4" w:rsidP="00CD1926">
            <w:pPr>
              <w:shd w:val="clear" w:color="auto" w:fill="FFFFFF"/>
              <w:spacing w:beforeAutospacing="1" w:after="0" w:afterAutospacing="1" w:line="240" w:lineRule="auto"/>
              <w:textAlignment w:val="baseline"/>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Упаковка: </w:t>
            </w:r>
            <w:r w:rsidRPr="00CD20F7">
              <w:rPr>
                <w:rFonts w:ascii="Times New Roman" w:eastAsia="Times New Roman" w:hAnsi="Times New Roman" w:cs="Times New Roman"/>
                <w:color w:val="000000"/>
                <w:lang w:eastAsia="ru-RU"/>
              </w:rPr>
              <w:t>бутыль с ручкой из химически безвредного пластика по</w:t>
            </w:r>
            <w:r>
              <w:rPr>
                <w:rFonts w:ascii="Times New Roman" w:eastAsia="Times New Roman" w:hAnsi="Times New Roman" w:cs="Times New Roman"/>
                <w:color w:val="000000"/>
                <w:lang w:eastAsia="ru-RU"/>
              </w:rPr>
              <w:t>ликарбоната, емкостью 19 литров. Бутыль</w:t>
            </w:r>
            <w:r w:rsidRPr="00CD20F7">
              <w:rPr>
                <w:rFonts w:ascii="Times New Roman" w:eastAsia="Times New Roman" w:hAnsi="Times New Roman" w:cs="Times New Roman"/>
                <w:color w:val="000000"/>
                <w:lang w:eastAsia="ru-RU"/>
              </w:rPr>
              <w:t xml:space="preserve"> должна подходить для кулера; пробка должна быть одноразовая, изготовлена из пищевого полиэтилена. </w:t>
            </w:r>
          </w:p>
          <w:p w:rsidR="00EF18B4" w:rsidRDefault="00EF18B4" w:rsidP="00CD1926">
            <w:pPr>
              <w:shd w:val="clear" w:color="auto" w:fill="FFFFFF"/>
              <w:spacing w:beforeAutospacing="1" w:after="0" w:afterAutospacing="1" w:line="240" w:lineRule="auto"/>
              <w:textAlignment w:val="baseline"/>
              <w:rPr>
                <w:rFonts w:ascii="Times New Roman" w:eastAsia="Times New Roman" w:hAnsi="Times New Roman" w:cs="Times New Roman"/>
                <w:color w:val="000000"/>
                <w:lang w:eastAsia="ru-RU"/>
              </w:rPr>
            </w:pPr>
            <w:r w:rsidRPr="00CD20F7">
              <w:rPr>
                <w:rFonts w:ascii="Times New Roman" w:eastAsia="Times New Roman" w:hAnsi="Times New Roman" w:cs="Times New Roman"/>
                <w:color w:val="000000"/>
                <w:lang w:eastAsia="ru-RU"/>
              </w:rPr>
              <w:t xml:space="preserve">Разлив воды должен осуществляться в заводских условиях. </w:t>
            </w:r>
          </w:p>
          <w:p w:rsidR="00EF18B4" w:rsidRPr="00351DF1" w:rsidRDefault="00EF18B4" w:rsidP="00CD1926">
            <w:pPr>
              <w:shd w:val="clear" w:color="auto" w:fill="FFFFFF"/>
              <w:spacing w:beforeAutospacing="1" w:after="0" w:afterAutospacing="1" w:line="240" w:lineRule="auto"/>
              <w:textAlignment w:val="baseline"/>
              <w:rPr>
                <w:rFonts w:ascii="Times New Roman" w:eastAsia="Times New Roman" w:hAnsi="Times New Roman" w:cs="Times New Roman"/>
                <w:lang w:eastAsia="ru-RU"/>
              </w:rPr>
            </w:pPr>
            <w:r w:rsidRPr="00CD20F7">
              <w:rPr>
                <w:rFonts w:ascii="Times New Roman" w:eastAsia="Times New Roman" w:hAnsi="Times New Roman" w:cs="Times New Roman"/>
                <w:lang w:eastAsia="ru-RU"/>
              </w:rPr>
              <w:t xml:space="preserve">Остаточный срок годности питьевой воды на момент поставки должен составлять не менее 90%. </w:t>
            </w:r>
          </w:p>
        </w:tc>
        <w:tc>
          <w:tcPr>
            <w:tcW w:w="316" w:type="pct"/>
            <w:tcBorders>
              <w:top w:val="single" w:sz="4" w:space="0" w:color="auto"/>
              <w:left w:val="single" w:sz="4" w:space="0" w:color="auto"/>
              <w:bottom w:val="single" w:sz="4" w:space="0" w:color="auto"/>
            </w:tcBorders>
            <w:shd w:val="clear" w:color="FFFFFF" w:fill="auto"/>
            <w:vAlign w:val="center"/>
          </w:tcPr>
          <w:p w:rsidR="00EF18B4" w:rsidRPr="00280E31" w:rsidRDefault="00EF18B4" w:rsidP="00CD1926">
            <w:pPr>
              <w:spacing w:after="160" w:line="259" w:lineRule="auto"/>
              <w:jc w:val="center"/>
              <w:rPr>
                <w:rFonts w:ascii="Times New Roman" w:eastAsia="Calibri" w:hAnsi="Times New Roman" w:cs="Times New Roman"/>
              </w:rPr>
            </w:pPr>
            <w:r w:rsidRPr="00EF18B4">
              <w:rPr>
                <w:rFonts w:ascii="Times New Roman" w:eastAsia="Calibri" w:hAnsi="Times New Roman" w:cs="Times New Roman"/>
              </w:rPr>
              <w:t>Бут.</w:t>
            </w:r>
          </w:p>
        </w:tc>
        <w:tc>
          <w:tcPr>
            <w:tcW w:w="374" w:type="pct"/>
            <w:tcBorders>
              <w:top w:val="single" w:sz="4" w:space="0" w:color="auto"/>
              <w:left w:val="single" w:sz="4" w:space="0" w:color="auto"/>
              <w:bottom w:val="single" w:sz="4" w:space="0" w:color="auto"/>
              <w:right w:val="single" w:sz="4" w:space="0" w:color="auto"/>
            </w:tcBorders>
            <w:shd w:val="clear" w:color="FFFFFF" w:fill="auto"/>
            <w:vAlign w:val="center"/>
          </w:tcPr>
          <w:p w:rsidR="00EF18B4" w:rsidRPr="00280E31" w:rsidRDefault="00EF18B4" w:rsidP="00CD1926">
            <w:pPr>
              <w:spacing w:after="160" w:line="259" w:lineRule="auto"/>
              <w:jc w:val="center"/>
              <w:rPr>
                <w:rFonts w:ascii="Times New Roman" w:eastAsia="Calibri" w:hAnsi="Times New Roman" w:cs="Times New Roman"/>
              </w:rPr>
            </w:pPr>
            <w:r>
              <w:rPr>
                <w:rFonts w:ascii="Times New Roman" w:eastAsia="Calibri" w:hAnsi="Times New Roman" w:cs="Times New Roman"/>
              </w:rPr>
              <w:t>330</w:t>
            </w:r>
          </w:p>
        </w:tc>
        <w:tc>
          <w:tcPr>
            <w:tcW w:w="439" w:type="pct"/>
            <w:tcBorders>
              <w:top w:val="single" w:sz="4" w:space="0" w:color="auto"/>
              <w:left w:val="single" w:sz="4" w:space="0" w:color="auto"/>
              <w:bottom w:val="single" w:sz="4" w:space="0" w:color="auto"/>
              <w:right w:val="nil"/>
            </w:tcBorders>
            <w:vAlign w:val="center"/>
          </w:tcPr>
          <w:p w:rsidR="00EF18B4" w:rsidRDefault="00EF18B4" w:rsidP="00CD1926">
            <w:pPr>
              <w:pStyle w:val="PlainText"/>
              <w:widowControl w:val="0"/>
              <w:autoSpaceDE w:val="0"/>
              <w:autoSpaceDN w:val="0"/>
              <w:adjustRightInd w:val="0"/>
              <w:spacing w:line="276" w:lineRule="auto"/>
              <w:jc w:val="center"/>
              <w:rPr>
                <w:rFonts w:ascii="Times New Roman" w:hAnsi="Times New Roman"/>
                <w:sz w:val="22"/>
                <w:szCs w:val="22"/>
              </w:rPr>
            </w:pPr>
            <w:r w:rsidRPr="006F16FB">
              <w:rPr>
                <w:rFonts w:ascii="Times New Roman" w:hAnsi="Times New Roman"/>
                <w:sz w:val="22"/>
                <w:szCs w:val="22"/>
              </w:rPr>
              <w:t>36.00.11.000</w:t>
            </w:r>
          </w:p>
        </w:tc>
        <w:tc>
          <w:tcPr>
            <w:tcW w:w="505" w:type="pct"/>
            <w:tcBorders>
              <w:top w:val="single" w:sz="4" w:space="0" w:color="auto"/>
              <w:left w:val="single" w:sz="4" w:space="0" w:color="auto"/>
              <w:bottom w:val="single" w:sz="4" w:space="0" w:color="auto"/>
              <w:right w:val="single" w:sz="4" w:space="0" w:color="auto"/>
            </w:tcBorders>
            <w:shd w:val="clear" w:color="auto" w:fill="FFFF99"/>
          </w:tcPr>
          <w:p w:rsidR="00EF18B4" w:rsidRPr="007102F7" w:rsidRDefault="00EF18B4" w:rsidP="00CD1926">
            <w:pPr>
              <w:spacing w:after="160" w:line="259" w:lineRule="auto"/>
              <w:jc w:val="center"/>
              <w:rPr>
                <w:rFonts w:ascii="Times New Roman" w:eastAsia="Calibri" w:hAnsi="Times New Roman" w:cs="Times New Roman"/>
              </w:rPr>
            </w:pPr>
          </w:p>
        </w:tc>
        <w:tc>
          <w:tcPr>
            <w:tcW w:w="441" w:type="pct"/>
            <w:tcBorders>
              <w:top w:val="single" w:sz="4" w:space="0" w:color="auto"/>
              <w:left w:val="single" w:sz="4" w:space="0" w:color="auto"/>
              <w:bottom w:val="single" w:sz="4" w:space="0" w:color="auto"/>
              <w:right w:val="single" w:sz="4" w:space="0" w:color="auto"/>
            </w:tcBorders>
            <w:shd w:val="clear" w:color="auto" w:fill="FFFF99"/>
          </w:tcPr>
          <w:p w:rsidR="00EF18B4" w:rsidRPr="007102F7" w:rsidRDefault="00EF18B4" w:rsidP="00CD1926">
            <w:pPr>
              <w:spacing w:after="160" w:line="259" w:lineRule="auto"/>
              <w:jc w:val="center"/>
              <w:rPr>
                <w:rFonts w:ascii="Times New Roman" w:eastAsia="Calibri" w:hAnsi="Times New Roman" w:cs="Times New Roman"/>
              </w:rPr>
            </w:pPr>
          </w:p>
        </w:tc>
      </w:tr>
    </w:tbl>
    <w:p w:rsidR="0011217D" w:rsidRPr="0019152C" w:rsidRDefault="0011217D" w:rsidP="0011217D">
      <w:pPr>
        <w:rPr>
          <w:rFonts w:ascii="Times New Roman" w:hAnsi="Times New Roman" w:cs="Times New Roman"/>
          <w:b/>
          <w:sz w:val="24"/>
          <w:szCs w:val="24"/>
        </w:rPr>
      </w:pPr>
    </w:p>
    <w:p w:rsidR="00DB5EE8" w:rsidRDefault="00735AB0" w:rsidP="00735AB0">
      <w:pPr>
        <w:ind w:left="142" w:hanging="284"/>
        <w:rPr>
          <w:rFonts w:ascii="Times New Roman" w:hAnsi="Times New Roman" w:cs="Times New Roman"/>
          <w:i/>
          <w:sz w:val="24"/>
          <w:szCs w:val="24"/>
        </w:rPr>
      </w:pPr>
      <w:r w:rsidRPr="00735AB0">
        <w:rPr>
          <w:rFonts w:ascii="Times New Roman" w:hAnsi="Times New Roman" w:cs="Times New Roman"/>
          <w:b/>
          <w:sz w:val="24"/>
          <w:szCs w:val="24"/>
          <w:highlight w:val="yellow"/>
        </w:rPr>
        <w:t>*</w:t>
      </w:r>
      <w:r>
        <w:rPr>
          <w:rFonts w:ascii="Times New Roman" w:hAnsi="Times New Roman" w:cs="Times New Roman"/>
          <w:b/>
          <w:sz w:val="24"/>
          <w:szCs w:val="24"/>
        </w:rPr>
        <w:t xml:space="preserve"> </w:t>
      </w:r>
      <w:r w:rsidRPr="00735AB0">
        <w:rPr>
          <w:rFonts w:ascii="Times New Roman" w:hAnsi="Times New Roman" w:cs="Times New Roman"/>
          <w:i/>
          <w:sz w:val="24"/>
          <w:szCs w:val="24"/>
        </w:rPr>
        <w:t>Значения заполняются контрагентом при формировании КП</w:t>
      </w:r>
    </w:p>
    <w:p w:rsidR="006474B5" w:rsidRPr="00F72D5A" w:rsidRDefault="006474B5" w:rsidP="006474B5">
      <w:pPr>
        <w:rPr>
          <w:rFonts w:ascii="Times New Roman" w:hAnsi="Times New Roman"/>
          <w:b/>
          <w:sz w:val="24"/>
          <w:szCs w:val="24"/>
        </w:rPr>
      </w:pP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lastRenderedPageBreak/>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предлагаемых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r>
        <w:rPr>
          <w:rFonts w:ascii="Times New Roman" w:hAnsi="Times New Roman"/>
          <w:sz w:val="24"/>
          <w:szCs w:val="24"/>
        </w:rPr>
        <w:t xml:space="preserve">указанным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441301" w:rsidRDefault="00204D4E" w:rsidP="00204D4E">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r w:rsidR="00441301">
        <w:rPr>
          <w:rFonts w:ascii="Times New Roman" w:hAnsi="Times New Roman"/>
          <w:sz w:val="24"/>
          <w:szCs w:val="24"/>
          <w:lang w:eastAsia="ru-RU"/>
        </w:rPr>
        <w:t xml:space="preserve"> </w:t>
      </w:r>
    </w:p>
    <w:p w:rsidR="00822F37" w:rsidRPr="00822F37" w:rsidRDefault="00822F37" w:rsidP="00822F37">
      <w:pPr>
        <w:ind w:left="-567" w:firstLine="284"/>
        <w:rPr>
          <w:rFonts w:ascii="Times New Roman" w:hAnsi="Times New Roman"/>
          <w:sz w:val="24"/>
          <w:szCs w:val="24"/>
          <w:lang w:eastAsia="ru-RU"/>
        </w:rPr>
      </w:pPr>
    </w:p>
    <w:sectPr w:rsidR="00822F37" w:rsidRPr="00822F37"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DF5" w:rsidRDefault="00396DF5">
      <w:pPr>
        <w:spacing w:after="0" w:line="240" w:lineRule="auto"/>
      </w:pPr>
      <w:r>
        <w:separator/>
      </w:r>
    </w:p>
  </w:endnote>
  <w:endnote w:type="continuationSeparator" w:id="0">
    <w:p w:rsidR="00396DF5" w:rsidRDefault="00396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EF18B4">
          <w:rPr>
            <w:noProof/>
          </w:rPr>
          <w:t>3</w:t>
        </w:r>
        <w:r>
          <w:fldChar w:fldCharType="end"/>
        </w:r>
      </w:p>
    </w:sdtContent>
  </w:sdt>
  <w:p w:rsidR="00F52E6A" w:rsidRDefault="00F52E6A">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396DF5">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EF18B4">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DF5" w:rsidRDefault="00396DF5">
      <w:pPr>
        <w:spacing w:after="0" w:line="240" w:lineRule="auto"/>
      </w:pPr>
      <w:r>
        <w:separator/>
      </w:r>
    </w:p>
  </w:footnote>
  <w:footnote w:type="continuationSeparator" w:id="0">
    <w:p w:rsidR="00396DF5" w:rsidRDefault="00396DF5">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rsidR="00F52E6A" w:rsidRDefault="00F52E6A">
    <w:pPr>
      <w:pStyle w:val="a4"/>
    </w:pPr>
    <w:r>
      <w:rPr>
        <w:noProof/>
        <w:lang w:eastAsia="ru-RU"/>
      </w:rPr>
      <w:drawing>
        <wp:inline distT="0" distB="0" distL="0" distR="0" wp14:anchorId="5D08BF07" wp14:editId="33956389">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11"/>
  </w:num>
  <w:num w:numId="6">
    <w:abstractNumId w:val="8"/>
  </w:num>
  <w:num w:numId="7">
    <w:abstractNumId w:val="2"/>
  </w:num>
  <w:num w:numId="8">
    <w:abstractNumId w:val="13"/>
  </w:num>
  <w:num w:numId="9">
    <w:abstractNumId w:val="1"/>
  </w:num>
  <w:num w:numId="10">
    <w:abstractNumId w:val="12"/>
  </w:num>
  <w:num w:numId="11">
    <w:abstractNumId w:val="15"/>
  </w:num>
  <w:num w:numId="12">
    <w:abstractNumId w:val="7"/>
  </w:num>
  <w:num w:numId="13">
    <w:abstractNumId w:val="4"/>
  </w:num>
  <w:num w:numId="14">
    <w:abstractNumId w:val="6"/>
  </w:num>
  <w:num w:numId="15">
    <w:abstractNumId w:val="14"/>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31AFA"/>
    <w:rsid w:val="0004504D"/>
    <w:rsid w:val="00076D17"/>
    <w:rsid w:val="00087E95"/>
    <w:rsid w:val="0009727D"/>
    <w:rsid w:val="000A5E67"/>
    <w:rsid w:val="000B086C"/>
    <w:rsid w:val="000B4857"/>
    <w:rsid w:val="000B76AB"/>
    <w:rsid w:val="000C04D6"/>
    <w:rsid w:val="000C181F"/>
    <w:rsid w:val="000D60FE"/>
    <w:rsid w:val="000E78CD"/>
    <w:rsid w:val="000F411A"/>
    <w:rsid w:val="00104CC6"/>
    <w:rsid w:val="00111C41"/>
    <w:rsid w:val="0011217D"/>
    <w:rsid w:val="001233FC"/>
    <w:rsid w:val="001450A2"/>
    <w:rsid w:val="00145A39"/>
    <w:rsid w:val="0014684C"/>
    <w:rsid w:val="0015409D"/>
    <w:rsid w:val="001570CF"/>
    <w:rsid w:val="0016689A"/>
    <w:rsid w:val="00182395"/>
    <w:rsid w:val="0019152C"/>
    <w:rsid w:val="00192794"/>
    <w:rsid w:val="00195CA6"/>
    <w:rsid w:val="001C3568"/>
    <w:rsid w:val="001E2F36"/>
    <w:rsid w:val="001F4949"/>
    <w:rsid w:val="001F575C"/>
    <w:rsid w:val="00204D4E"/>
    <w:rsid w:val="0021224E"/>
    <w:rsid w:val="00213BCE"/>
    <w:rsid w:val="002163C8"/>
    <w:rsid w:val="00221C8B"/>
    <w:rsid w:val="002329D0"/>
    <w:rsid w:val="002420F4"/>
    <w:rsid w:val="00251D64"/>
    <w:rsid w:val="00255BA3"/>
    <w:rsid w:val="002602CF"/>
    <w:rsid w:val="00262242"/>
    <w:rsid w:val="0027397C"/>
    <w:rsid w:val="0027696D"/>
    <w:rsid w:val="002824B6"/>
    <w:rsid w:val="002A1986"/>
    <w:rsid w:val="002A657B"/>
    <w:rsid w:val="002B12E3"/>
    <w:rsid w:val="002C2CE3"/>
    <w:rsid w:val="002C473B"/>
    <w:rsid w:val="002E6D4A"/>
    <w:rsid w:val="002F1377"/>
    <w:rsid w:val="002F2BED"/>
    <w:rsid w:val="002F5BC1"/>
    <w:rsid w:val="002F6D7C"/>
    <w:rsid w:val="003103C5"/>
    <w:rsid w:val="0031098C"/>
    <w:rsid w:val="00324FCD"/>
    <w:rsid w:val="00341AFA"/>
    <w:rsid w:val="00343ED9"/>
    <w:rsid w:val="00344402"/>
    <w:rsid w:val="00347F84"/>
    <w:rsid w:val="00361CB0"/>
    <w:rsid w:val="00367146"/>
    <w:rsid w:val="0037099D"/>
    <w:rsid w:val="003747A7"/>
    <w:rsid w:val="00381F8E"/>
    <w:rsid w:val="00391C92"/>
    <w:rsid w:val="0039429B"/>
    <w:rsid w:val="00396DF5"/>
    <w:rsid w:val="003A2348"/>
    <w:rsid w:val="003A2BFE"/>
    <w:rsid w:val="003B56D0"/>
    <w:rsid w:val="003B57CB"/>
    <w:rsid w:val="003D4C65"/>
    <w:rsid w:val="003E0EB5"/>
    <w:rsid w:val="003E60F6"/>
    <w:rsid w:val="003F0AA1"/>
    <w:rsid w:val="00406050"/>
    <w:rsid w:val="004115D1"/>
    <w:rsid w:val="0041280E"/>
    <w:rsid w:val="00420C6C"/>
    <w:rsid w:val="00421825"/>
    <w:rsid w:val="00434120"/>
    <w:rsid w:val="0043583F"/>
    <w:rsid w:val="00441301"/>
    <w:rsid w:val="00450FFE"/>
    <w:rsid w:val="004536CC"/>
    <w:rsid w:val="00461AE7"/>
    <w:rsid w:val="0047463F"/>
    <w:rsid w:val="00487AFF"/>
    <w:rsid w:val="004A030B"/>
    <w:rsid w:val="004B7816"/>
    <w:rsid w:val="004C1F26"/>
    <w:rsid w:val="004C5F4A"/>
    <w:rsid w:val="004D0F2E"/>
    <w:rsid w:val="004D10CD"/>
    <w:rsid w:val="004D7859"/>
    <w:rsid w:val="004E0B85"/>
    <w:rsid w:val="004E4663"/>
    <w:rsid w:val="004F06D8"/>
    <w:rsid w:val="005015AB"/>
    <w:rsid w:val="0051016A"/>
    <w:rsid w:val="00513490"/>
    <w:rsid w:val="005223C1"/>
    <w:rsid w:val="005246FD"/>
    <w:rsid w:val="00541586"/>
    <w:rsid w:val="00552518"/>
    <w:rsid w:val="00552D61"/>
    <w:rsid w:val="00560247"/>
    <w:rsid w:val="0057245F"/>
    <w:rsid w:val="00577D46"/>
    <w:rsid w:val="00582162"/>
    <w:rsid w:val="00585F05"/>
    <w:rsid w:val="00592AB6"/>
    <w:rsid w:val="00593990"/>
    <w:rsid w:val="005A566A"/>
    <w:rsid w:val="005B1AF4"/>
    <w:rsid w:val="005F153F"/>
    <w:rsid w:val="00623487"/>
    <w:rsid w:val="00632D4D"/>
    <w:rsid w:val="006420B2"/>
    <w:rsid w:val="00642D06"/>
    <w:rsid w:val="006474B5"/>
    <w:rsid w:val="00650AB9"/>
    <w:rsid w:val="00680267"/>
    <w:rsid w:val="00680B51"/>
    <w:rsid w:val="00692F2A"/>
    <w:rsid w:val="006B558D"/>
    <w:rsid w:val="006C4866"/>
    <w:rsid w:val="006C6485"/>
    <w:rsid w:val="006E055D"/>
    <w:rsid w:val="006E3956"/>
    <w:rsid w:val="006E4D75"/>
    <w:rsid w:val="006E6F65"/>
    <w:rsid w:val="006F556E"/>
    <w:rsid w:val="0071128E"/>
    <w:rsid w:val="00735AB0"/>
    <w:rsid w:val="0074516E"/>
    <w:rsid w:val="0076046A"/>
    <w:rsid w:val="00770DBE"/>
    <w:rsid w:val="00781335"/>
    <w:rsid w:val="00786E1B"/>
    <w:rsid w:val="007922BC"/>
    <w:rsid w:val="007B5155"/>
    <w:rsid w:val="007B631D"/>
    <w:rsid w:val="007B64E3"/>
    <w:rsid w:val="007C20A6"/>
    <w:rsid w:val="007C4CF9"/>
    <w:rsid w:val="007D2EFB"/>
    <w:rsid w:val="007E016E"/>
    <w:rsid w:val="007E29E9"/>
    <w:rsid w:val="007F15A5"/>
    <w:rsid w:val="007F4C38"/>
    <w:rsid w:val="008066C1"/>
    <w:rsid w:val="00807CF5"/>
    <w:rsid w:val="00817D95"/>
    <w:rsid w:val="00822F37"/>
    <w:rsid w:val="008252D7"/>
    <w:rsid w:val="00832975"/>
    <w:rsid w:val="008404B2"/>
    <w:rsid w:val="00861E58"/>
    <w:rsid w:val="0086317D"/>
    <w:rsid w:val="008638F3"/>
    <w:rsid w:val="00883DC5"/>
    <w:rsid w:val="00893080"/>
    <w:rsid w:val="00894C5B"/>
    <w:rsid w:val="008A77E7"/>
    <w:rsid w:val="008B64C5"/>
    <w:rsid w:val="008C7CC3"/>
    <w:rsid w:val="008D36C2"/>
    <w:rsid w:val="008F273B"/>
    <w:rsid w:val="008F3B0B"/>
    <w:rsid w:val="008F4DD1"/>
    <w:rsid w:val="0091306B"/>
    <w:rsid w:val="00924D15"/>
    <w:rsid w:val="00964265"/>
    <w:rsid w:val="00971FDB"/>
    <w:rsid w:val="009765E0"/>
    <w:rsid w:val="009840D8"/>
    <w:rsid w:val="00991266"/>
    <w:rsid w:val="009938B0"/>
    <w:rsid w:val="009A2C92"/>
    <w:rsid w:val="009B40C9"/>
    <w:rsid w:val="009D1527"/>
    <w:rsid w:val="009E0E6A"/>
    <w:rsid w:val="009E14D4"/>
    <w:rsid w:val="009E41C0"/>
    <w:rsid w:val="009F1E95"/>
    <w:rsid w:val="009F28DD"/>
    <w:rsid w:val="009F387B"/>
    <w:rsid w:val="00A00C6D"/>
    <w:rsid w:val="00A072C2"/>
    <w:rsid w:val="00A20761"/>
    <w:rsid w:val="00A37A47"/>
    <w:rsid w:val="00A406BB"/>
    <w:rsid w:val="00A423B2"/>
    <w:rsid w:val="00A475D6"/>
    <w:rsid w:val="00A51E47"/>
    <w:rsid w:val="00A5338E"/>
    <w:rsid w:val="00A56B78"/>
    <w:rsid w:val="00A56D74"/>
    <w:rsid w:val="00A641E2"/>
    <w:rsid w:val="00A76CEF"/>
    <w:rsid w:val="00A82B8F"/>
    <w:rsid w:val="00A8777F"/>
    <w:rsid w:val="00A91698"/>
    <w:rsid w:val="00A94C5C"/>
    <w:rsid w:val="00AB2243"/>
    <w:rsid w:val="00AE1B0F"/>
    <w:rsid w:val="00AF03B1"/>
    <w:rsid w:val="00AF7E0D"/>
    <w:rsid w:val="00B0383F"/>
    <w:rsid w:val="00B215F4"/>
    <w:rsid w:val="00B23D79"/>
    <w:rsid w:val="00B24019"/>
    <w:rsid w:val="00B33706"/>
    <w:rsid w:val="00B61169"/>
    <w:rsid w:val="00B664DC"/>
    <w:rsid w:val="00B666D7"/>
    <w:rsid w:val="00B66D35"/>
    <w:rsid w:val="00B67E6D"/>
    <w:rsid w:val="00B77DAE"/>
    <w:rsid w:val="00B8743B"/>
    <w:rsid w:val="00BA5FF8"/>
    <w:rsid w:val="00BE3F70"/>
    <w:rsid w:val="00BF2771"/>
    <w:rsid w:val="00C134B9"/>
    <w:rsid w:val="00C22E6F"/>
    <w:rsid w:val="00C368D3"/>
    <w:rsid w:val="00C505E8"/>
    <w:rsid w:val="00C56C90"/>
    <w:rsid w:val="00C645BD"/>
    <w:rsid w:val="00C753E1"/>
    <w:rsid w:val="00C77D9B"/>
    <w:rsid w:val="00C81C82"/>
    <w:rsid w:val="00C9583B"/>
    <w:rsid w:val="00CC4773"/>
    <w:rsid w:val="00CD1DB9"/>
    <w:rsid w:val="00CD1E24"/>
    <w:rsid w:val="00CD3089"/>
    <w:rsid w:val="00CF19F4"/>
    <w:rsid w:val="00D04875"/>
    <w:rsid w:val="00D17764"/>
    <w:rsid w:val="00D3148D"/>
    <w:rsid w:val="00D31887"/>
    <w:rsid w:val="00D3448D"/>
    <w:rsid w:val="00D4075D"/>
    <w:rsid w:val="00D75216"/>
    <w:rsid w:val="00D75A72"/>
    <w:rsid w:val="00D811F2"/>
    <w:rsid w:val="00D93803"/>
    <w:rsid w:val="00D9443F"/>
    <w:rsid w:val="00DB54FF"/>
    <w:rsid w:val="00DB5EE8"/>
    <w:rsid w:val="00DD6DFD"/>
    <w:rsid w:val="00E02EB4"/>
    <w:rsid w:val="00E06D2F"/>
    <w:rsid w:val="00E23D7F"/>
    <w:rsid w:val="00E300DF"/>
    <w:rsid w:val="00E377D1"/>
    <w:rsid w:val="00E70CD9"/>
    <w:rsid w:val="00E768F9"/>
    <w:rsid w:val="00E961F8"/>
    <w:rsid w:val="00ED2F34"/>
    <w:rsid w:val="00EE2E62"/>
    <w:rsid w:val="00EE4AA9"/>
    <w:rsid w:val="00EF093D"/>
    <w:rsid w:val="00EF18B4"/>
    <w:rsid w:val="00F27547"/>
    <w:rsid w:val="00F2794C"/>
    <w:rsid w:val="00F33B71"/>
    <w:rsid w:val="00F374E2"/>
    <w:rsid w:val="00F43A9A"/>
    <w:rsid w:val="00F52E6A"/>
    <w:rsid w:val="00F709FA"/>
    <w:rsid w:val="00F72D5A"/>
    <w:rsid w:val="00F92171"/>
    <w:rsid w:val="00FB1AB7"/>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paragraph" w:customStyle="1" w:styleId="PlainText">
    <w:name w:val="Plain Text Знак Знак"/>
    <w:basedOn w:val="a0"/>
    <w:link w:val="PlainText0"/>
    <w:rsid w:val="00EF18B4"/>
    <w:pPr>
      <w:spacing w:after="0" w:line="240" w:lineRule="auto"/>
    </w:pPr>
    <w:rPr>
      <w:rFonts w:ascii="Courier New" w:eastAsia="Times New Roman" w:hAnsi="Courier New" w:cs="Times New Roman"/>
      <w:sz w:val="20"/>
      <w:szCs w:val="20"/>
      <w:lang w:eastAsia="ru-RU"/>
    </w:rPr>
  </w:style>
  <w:style w:type="character" w:customStyle="1" w:styleId="PlainText0">
    <w:name w:val="Plain Text Знак Знак Знак"/>
    <w:link w:val="PlainText"/>
    <w:rsid w:val="00EF18B4"/>
    <w:rPr>
      <w:rFonts w:ascii="Courier New" w:eastAsia="Times New Roman"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paragraph" w:customStyle="1" w:styleId="PlainText">
    <w:name w:val="Plain Text Знак Знак"/>
    <w:basedOn w:val="a0"/>
    <w:link w:val="PlainText0"/>
    <w:rsid w:val="00EF18B4"/>
    <w:pPr>
      <w:spacing w:after="0" w:line="240" w:lineRule="auto"/>
    </w:pPr>
    <w:rPr>
      <w:rFonts w:ascii="Courier New" w:eastAsia="Times New Roman" w:hAnsi="Courier New" w:cs="Times New Roman"/>
      <w:sz w:val="20"/>
      <w:szCs w:val="20"/>
      <w:lang w:eastAsia="ru-RU"/>
    </w:rPr>
  </w:style>
  <w:style w:type="character" w:customStyle="1" w:styleId="PlainText0">
    <w:name w:val="Plain Text Знак Знак Знак"/>
    <w:link w:val="PlainText"/>
    <w:rsid w:val="00EF18B4"/>
    <w:rPr>
      <w:rFonts w:ascii="Courier New" w:eastAsia="Times New Roman"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B8A71-B595-484F-999F-A00B7A839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608</Words>
  <Characters>3471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Юлия Михайловна Каненкова</cp:lastModifiedBy>
  <cp:revision>4</cp:revision>
  <cp:lastPrinted>2018-01-19T15:25:00Z</cp:lastPrinted>
  <dcterms:created xsi:type="dcterms:W3CDTF">2019-11-07T13:32:00Z</dcterms:created>
  <dcterms:modified xsi:type="dcterms:W3CDTF">2019-12-05T10:47:00Z</dcterms:modified>
</cp:coreProperties>
</file>