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21.1-03/2312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65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D15E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Остаточный срок годности товара на момент поставки указан в п.13 "описание объекта закупки"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D15E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DD15E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843" w:type="dxa"/>
        <w:tblLayout w:type="fixed"/>
        <w:tblLook w:val="04A0" w:firstRow="1" w:lastRow="0" w:firstColumn="1" w:lastColumn="0" w:noHBand="0" w:noVBand="1"/>
      </w:tblPr>
      <w:tblGrid>
        <w:gridCol w:w="392"/>
        <w:gridCol w:w="992"/>
        <w:gridCol w:w="1559"/>
        <w:gridCol w:w="1276"/>
        <w:gridCol w:w="1559"/>
        <w:gridCol w:w="993"/>
        <w:gridCol w:w="1984"/>
        <w:gridCol w:w="1701"/>
        <w:gridCol w:w="992"/>
        <w:gridCol w:w="851"/>
        <w:gridCol w:w="992"/>
        <w:gridCol w:w="851"/>
        <w:gridCol w:w="567"/>
        <w:gridCol w:w="566"/>
        <w:gridCol w:w="568"/>
      </w:tblGrid>
      <w:tr w:rsidR="00EB75A5" w:rsidRPr="00DD15E8" w:rsidTr="00EB75A5">
        <w:trPr>
          <w:trHeight w:val="402"/>
        </w:trPr>
        <w:tc>
          <w:tcPr>
            <w:tcW w:w="392" w:type="dxa"/>
            <w:vAlign w:val="center"/>
            <w:hideMark/>
          </w:tcPr>
          <w:p w:rsidR="00DD15E8" w:rsidRPr="00B86C62" w:rsidRDefault="00DD15E8" w:rsidP="00DD15E8">
            <w:pPr>
              <w:jc w:val="center"/>
              <w:rPr>
                <w:rFonts w:ascii="Times New Roman" w:hAnsi="Times New Roman" w:cs="Times New Roman"/>
                <w:b/>
                <w:bCs/>
                <w:sz w:val="14"/>
                <w:szCs w:val="14"/>
              </w:rPr>
            </w:pPr>
            <w:r w:rsidRPr="00B86C62">
              <w:rPr>
                <w:rFonts w:ascii="Times New Roman" w:eastAsia="Times New Roman" w:hAnsi="Times New Roman" w:cs="Times New Roman"/>
                <w:b/>
                <w:bCs/>
                <w:color w:val="000000"/>
                <w:sz w:val="14"/>
                <w:szCs w:val="14"/>
                <w:lang w:eastAsia="ru-RU"/>
              </w:rPr>
              <w:t>№ п/п</w:t>
            </w:r>
          </w:p>
        </w:tc>
        <w:tc>
          <w:tcPr>
            <w:tcW w:w="992" w:type="dxa"/>
            <w:vAlign w:val="center"/>
            <w:hideMark/>
          </w:tcPr>
          <w:p w:rsidR="00DD15E8" w:rsidRPr="00B86C62" w:rsidRDefault="00DD15E8" w:rsidP="00DD15E8">
            <w:pPr>
              <w:jc w:val="center"/>
              <w:rPr>
                <w:rFonts w:ascii="Times New Roman" w:hAnsi="Times New Roman" w:cs="Times New Roman"/>
                <w:b/>
                <w:bCs/>
                <w:sz w:val="14"/>
                <w:szCs w:val="14"/>
              </w:rPr>
            </w:pPr>
            <w:r w:rsidRPr="00B86C62">
              <w:rPr>
                <w:rFonts w:ascii="Times New Roman" w:eastAsia="Times New Roman" w:hAnsi="Times New Roman" w:cs="Times New Roman"/>
                <w:b/>
                <w:bCs/>
                <w:color w:val="000000"/>
                <w:sz w:val="14"/>
                <w:szCs w:val="14"/>
                <w:lang w:eastAsia="ru-RU"/>
              </w:rPr>
              <w:t>Код позиции</w:t>
            </w:r>
          </w:p>
        </w:tc>
        <w:tc>
          <w:tcPr>
            <w:tcW w:w="1559" w:type="dxa"/>
            <w:vAlign w:val="center"/>
            <w:hideMark/>
          </w:tcPr>
          <w:p w:rsidR="00DD15E8" w:rsidRPr="00B86C62" w:rsidRDefault="00DD15E8" w:rsidP="00DD15E8">
            <w:pPr>
              <w:jc w:val="center"/>
              <w:rPr>
                <w:rFonts w:ascii="Times New Roman" w:hAnsi="Times New Roman" w:cs="Times New Roman"/>
                <w:b/>
                <w:bCs/>
                <w:sz w:val="14"/>
                <w:szCs w:val="14"/>
              </w:rPr>
            </w:pPr>
            <w:r w:rsidRPr="00B86C62">
              <w:rPr>
                <w:rFonts w:ascii="Times New Roman" w:eastAsia="Times New Roman" w:hAnsi="Times New Roman" w:cs="Times New Roman"/>
                <w:b/>
                <w:bCs/>
                <w:color w:val="000000"/>
                <w:sz w:val="14"/>
                <w:szCs w:val="14"/>
                <w:lang w:eastAsia="ru-RU"/>
              </w:rPr>
              <w:t>Наименование товара, работы, услуги</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Наименование характеристики</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Значение характеристики</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Единица измерения характеристики</w:t>
            </w:r>
          </w:p>
        </w:tc>
        <w:tc>
          <w:tcPr>
            <w:tcW w:w="1984" w:type="dxa"/>
          </w:tcPr>
          <w:p w:rsidR="00DD15E8" w:rsidRPr="00B86C62" w:rsidRDefault="00DD15E8" w:rsidP="00DD15E8">
            <w:pPr>
              <w:jc w:val="center"/>
              <w:rPr>
                <w:rFonts w:ascii="Times New Roman" w:hAnsi="Times New Roman" w:cs="Times New Roman"/>
                <w:bCs/>
                <w:sz w:val="14"/>
                <w:szCs w:val="14"/>
              </w:rPr>
            </w:pPr>
            <w:r w:rsidRPr="00B86C62">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1701" w:type="dxa"/>
            <w:vAlign w:val="center"/>
            <w:hideMark/>
          </w:tcPr>
          <w:p w:rsidR="00DD15E8" w:rsidRPr="00B86C62" w:rsidRDefault="00DD15E8" w:rsidP="00DD15E8">
            <w:pPr>
              <w:jc w:val="center"/>
              <w:rPr>
                <w:rFonts w:ascii="Times New Roman" w:hAnsi="Times New Roman" w:cs="Times New Roman"/>
                <w:b/>
                <w:bCs/>
                <w:sz w:val="14"/>
                <w:szCs w:val="14"/>
              </w:rPr>
            </w:pPr>
            <w:r w:rsidRPr="00B86C62">
              <w:rPr>
                <w:rFonts w:ascii="Times New Roman" w:hAnsi="Times New Roman" w:cs="Times New Roman"/>
                <w:b/>
                <w:bCs/>
                <w:sz w:val="14"/>
                <w:szCs w:val="14"/>
              </w:rPr>
              <w:t>Обоснование дополнительных характеристик</w:t>
            </w:r>
          </w:p>
        </w:tc>
        <w:tc>
          <w:tcPr>
            <w:tcW w:w="992" w:type="dxa"/>
          </w:tcPr>
          <w:p w:rsidR="00DD15E8" w:rsidRPr="00B86C62" w:rsidRDefault="00DD15E8" w:rsidP="00DD15E8">
            <w:pPr>
              <w:jc w:val="center"/>
              <w:rPr>
                <w:rFonts w:ascii="Times New Roman" w:hAnsi="Times New Roman" w:cs="Times New Roman"/>
                <w:b/>
                <w:bCs/>
                <w:sz w:val="14"/>
                <w:szCs w:val="14"/>
              </w:rPr>
            </w:pPr>
            <w:r w:rsidRPr="00B86C62">
              <w:rPr>
                <w:rFonts w:ascii="Times New Roman" w:hAnsi="Times New Roman" w:cs="Times New Roman"/>
                <w:b/>
                <w:bCs/>
                <w:sz w:val="14"/>
                <w:szCs w:val="14"/>
              </w:rPr>
              <w:t>Остаточный срок годности товара на момент поставки</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Количество</w:t>
            </w:r>
          </w:p>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(объем работы, услуги)</w:t>
            </w:r>
          </w:p>
        </w:tc>
        <w:tc>
          <w:tcPr>
            <w:tcW w:w="992" w:type="dxa"/>
            <w:tcBorders>
              <w:top w:val="single" w:sz="6" w:space="0" w:color="000000"/>
              <w:left w:val="single" w:sz="6" w:space="0" w:color="000000"/>
              <w:bottom w:val="single" w:sz="6" w:space="0" w:color="000000"/>
              <w:right w:val="single" w:sz="6" w:space="0" w:color="000000"/>
            </w:tcBorders>
          </w:tcPr>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Единица измерения</w:t>
            </w:r>
          </w:p>
        </w:tc>
        <w:tc>
          <w:tcPr>
            <w:tcW w:w="851" w:type="dxa"/>
            <w:tcBorders>
              <w:top w:val="single" w:sz="6" w:space="0" w:color="000000"/>
              <w:left w:val="single" w:sz="6" w:space="0" w:color="000000"/>
              <w:bottom w:val="single" w:sz="6" w:space="0" w:color="000000"/>
              <w:right w:val="single" w:sz="6" w:space="0" w:color="000000"/>
            </w:tcBorders>
          </w:tcPr>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Страна происхождения</w:t>
            </w:r>
          </w:p>
        </w:tc>
        <w:tc>
          <w:tcPr>
            <w:tcW w:w="567" w:type="dxa"/>
            <w:tcBorders>
              <w:top w:val="single" w:sz="6" w:space="0" w:color="000000"/>
              <w:left w:val="single" w:sz="6" w:space="0" w:color="000000"/>
              <w:bottom w:val="single" w:sz="6" w:space="0" w:color="000000"/>
              <w:right w:val="single" w:sz="6" w:space="0" w:color="000000"/>
            </w:tcBorders>
          </w:tcPr>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НДС%</w:t>
            </w:r>
          </w:p>
        </w:tc>
        <w:tc>
          <w:tcPr>
            <w:tcW w:w="566" w:type="dxa"/>
            <w:tcBorders>
              <w:top w:val="single" w:sz="6" w:space="0" w:color="000000"/>
              <w:left w:val="single" w:sz="6" w:space="0" w:color="000000"/>
              <w:bottom w:val="single" w:sz="6" w:space="0" w:color="000000"/>
              <w:right w:val="single" w:sz="6" w:space="0" w:color="000000"/>
            </w:tcBorders>
            <w:vAlign w:val="center"/>
          </w:tcPr>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Цена за единицу без</w:t>
            </w:r>
          </w:p>
          <w:p w:rsidR="00DD15E8" w:rsidRPr="00B86C62" w:rsidRDefault="00DD15E8" w:rsidP="00DD15E8">
            <w:pPr>
              <w:jc w:val="center"/>
              <w:rPr>
                <w:rFonts w:ascii="Times New Roman" w:eastAsia="Times New Roman" w:hAnsi="Times New Roman" w:cs="Times New Roman"/>
                <w:b/>
                <w:bCs/>
                <w:color w:val="000000"/>
                <w:sz w:val="14"/>
                <w:szCs w:val="14"/>
                <w:lang w:eastAsia="ru-RU"/>
              </w:rPr>
            </w:pPr>
            <w:r w:rsidRPr="00B86C62">
              <w:rPr>
                <w:rFonts w:ascii="Times New Roman" w:eastAsia="Times New Roman" w:hAnsi="Times New Roman" w:cs="Times New Roman"/>
                <w:b/>
                <w:bCs/>
                <w:color w:val="000000"/>
                <w:sz w:val="14"/>
                <w:szCs w:val="14"/>
                <w:lang w:eastAsia="ru-RU"/>
              </w:rPr>
              <w:t>НДС</w:t>
            </w:r>
          </w:p>
        </w:tc>
        <w:tc>
          <w:tcPr>
            <w:tcW w:w="568" w:type="dxa"/>
            <w:tcBorders>
              <w:top w:val="single" w:sz="6" w:space="0" w:color="000000"/>
              <w:left w:val="single" w:sz="6" w:space="0" w:color="000000"/>
              <w:bottom w:val="single" w:sz="6" w:space="0" w:color="000000"/>
              <w:right w:val="single" w:sz="6" w:space="0" w:color="000000"/>
            </w:tcBorders>
          </w:tcPr>
          <w:p w:rsidR="00DD15E8" w:rsidRPr="00B86C62" w:rsidRDefault="00DD15E8" w:rsidP="00DD15E8">
            <w:pPr>
              <w:jc w:val="center"/>
              <w:rPr>
                <w:rFonts w:ascii="Times New Roman" w:eastAsia="Times New Roman" w:hAnsi="Times New Roman" w:cs="Times New Roman"/>
                <w:b/>
                <w:bCs/>
                <w:color w:val="000000"/>
                <w:sz w:val="14"/>
                <w:szCs w:val="14"/>
                <w:lang w:eastAsia="ru-RU"/>
              </w:rPr>
            </w:pPr>
            <w:r>
              <w:rPr>
                <w:rFonts w:ascii="Times New Roman" w:eastAsia="Times New Roman" w:hAnsi="Times New Roman" w:cs="Times New Roman"/>
                <w:b/>
                <w:bCs/>
                <w:color w:val="000000"/>
                <w:sz w:val="14"/>
                <w:szCs w:val="14"/>
                <w:lang w:eastAsia="ru-RU"/>
              </w:rPr>
              <w:t>Сумма без НДС</w:t>
            </w:r>
          </w:p>
        </w:tc>
      </w:tr>
      <w:tr w:rsidR="00EB75A5" w:rsidRPr="00DD15E8" w:rsidTr="00EB75A5">
        <w:trPr>
          <w:trHeight w:val="814"/>
        </w:trPr>
        <w:tc>
          <w:tcPr>
            <w:tcW w:w="392" w:type="dxa"/>
            <w:vMerge w:val="restart"/>
            <w:tcBorders>
              <w:bottom w:val="single" w:sz="4" w:space="0" w:color="auto"/>
            </w:tcBorders>
            <w:hideMark/>
          </w:tcPr>
          <w:p w:rsidR="00EB75A5" w:rsidRPr="00DD15E8" w:rsidRDefault="00EB75A5" w:rsidP="00DD15E8">
            <w:pPr>
              <w:jc w:val="center"/>
              <w:rPr>
                <w:rFonts w:ascii="Times New Roman" w:hAnsi="Times New Roman" w:cs="Times New Roman"/>
                <w:bCs/>
                <w:sz w:val="14"/>
                <w:szCs w:val="14"/>
              </w:rPr>
            </w:pPr>
            <w:r w:rsidRPr="00DD15E8">
              <w:rPr>
                <w:rFonts w:ascii="Times New Roman" w:hAnsi="Times New Roman" w:cs="Times New Roman"/>
                <w:bCs/>
                <w:sz w:val="14"/>
                <w:szCs w:val="14"/>
              </w:rPr>
              <w:t>1</w:t>
            </w:r>
          </w:p>
        </w:tc>
        <w:tc>
          <w:tcPr>
            <w:tcW w:w="992" w:type="dxa"/>
            <w:vMerge w:val="restart"/>
            <w:tcBorders>
              <w:bottom w:val="single" w:sz="4" w:space="0" w:color="auto"/>
            </w:tcBorders>
            <w:hideMark/>
          </w:tcPr>
          <w:p w:rsidR="00EB75A5" w:rsidRPr="00DD15E8" w:rsidRDefault="00EB75A5" w:rsidP="00DD15E8">
            <w:pPr>
              <w:jc w:val="center"/>
              <w:rPr>
                <w:rFonts w:ascii="Times New Roman" w:hAnsi="Times New Roman" w:cs="Times New Roman"/>
                <w:bCs/>
                <w:sz w:val="14"/>
                <w:szCs w:val="14"/>
              </w:rPr>
            </w:pPr>
            <w:r w:rsidRPr="00DD15E8">
              <w:rPr>
                <w:rFonts w:ascii="Times New Roman" w:hAnsi="Times New Roman" w:cs="Times New Roman"/>
                <w:bCs/>
                <w:sz w:val="14"/>
                <w:szCs w:val="14"/>
              </w:rPr>
              <w:t>21.20.23.110-00005578</w:t>
            </w:r>
            <w:r>
              <w:rPr>
                <w:rFonts w:ascii="Times New Roman" w:hAnsi="Times New Roman" w:cs="Times New Roman"/>
                <w:bCs/>
                <w:sz w:val="14"/>
                <w:szCs w:val="14"/>
              </w:rPr>
              <w:t>*</w:t>
            </w:r>
          </w:p>
        </w:tc>
        <w:tc>
          <w:tcPr>
            <w:tcW w:w="1559" w:type="dxa"/>
            <w:vMerge w:val="restart"/>
            <w:tcBorders>
              <w:bottom w:val="single" w:sz="4" w:space="0" w:color="auto"/>
            </w:tcBorders>
            <w:hideMark/>
          </w:tcPr>
          <w:p w:rsidR="00EB75A5" w:rsidRPr="00DD15E8" w:rsidRDefault="00EB75A5" w:rsidP="00DD15E8">
            <w:pPr>
              <w:jc w:val="center"/>
              <w:rPr>
                <w:rFonts w:ascii="Times New Roman" w:hAnsi="Times New Roman" w:cs="Times New Roman"/>
                <w:bCs/>
                <w:sz w:val="14"/>
                <w:szCs w:val="14"/>
              </w:rPr>
            </w:pPr>
            <w:r w:rsidRPr="00DD15E8">
              <w:rPr>
                <w:rFonts w:ascii="Times New Roman" w:hAnsi="Times New Roman" w:cs="Times New Roman"/>
                <w:sz w:val="14"/>
                <w:szCs w:val="14"/>
                <w:shd w:val="clear" w:color="auto" w:fill="FFFFFF"/>
              </w:rPr>
              <w:t>Моющий/чистящий раствор ИВД, для автоматических/полуавтоматических систем</w:t>
            </w:r>
          </w:p>
        </w:tc>
        <w:tc>
          <w:tcPr>
            <w:tcW w:w="1276" w:type="dxa"/>
            <w:tcBorders>
              <w:bottom w:val="single" w:sz="4" w:space="0" w:color="auto"/>
            </w:tcBorders>
          </w:tcPr>
          <w:p w:rsidR="00EB75A5" w:rsidRPr="00DD15E8" w:rsidRDefault="00EB75A5" w:rsidP="007468F1">
            <w:pPr>
              <w:rPr>
                <w:rFonts w:ascii="Times New Roman" w:eastAsia="Times New Roman" w:hAnsi="Times New Roman" w:cs="Times New Roman"/>
                <w:sz w:val="14"/>
                <w:szCs w:val="14"/>
                <w:lang w:eastAsia="ru-RU"/>
              </w:rPr>
            </w:pPr>
            <w:r w:rsidRPr="00DD15E8">
              <w:rPr>
                <w:rFonts w:ascii="Times New Roman" w:hAnsi="Times New Roman" w:cs="Times New Roman"/>
                <w:sz w:val="14"/>
                <w:szCs w:val="14"/>
                <w:shd w:val="clear" w:color="auto" w:fill="FFFFFF"/>
              </w:rPr>
              <w:t>Назначение</w:t>
            </w:r>
          </w:p>
        </w:tc>
        <w:tc>
          <w:tcPr>
            <w:tcW w:w="1559" w:type="dxa"/>
            <w:tcBorders>
              <w:bottom w:val="single" w:sz="4" w:space="0" w:color="auto"/>
            </w:tcBorders>
          </w:tcPr>
          <w:p w:rsidR="00EB75A5" w:rsidRPr="00DD15E8" w:rsidRDefault="00EB75A5" w:rsidP="00EB75A5">
            <w:pPr>
              <w:jc w:val="center"/>
              <w:rPr>
                <w:rFonts w:ascii="Times New Roman" w:eastAsia="Times New Roman" w:hAnsi="Times New Roman" w:cs="Times New Roman"/>
                <w:sz w:val="14"/>
                <w:szCs w:val="14"/>
                <w:lang w:eastAsia="ru-RU"/>
              </w:rPr>
            </w:pPr>
            <w:r w:rsidRPr="00DD15E8">
              <w:rPr>
                <w:rFonts w:ascii="Times New Roman" w:hAnsi="Times New Roman" w:cs="Times New Roman"/>
                <w:sz w:val="14"/>
                <w:szCs w:val="14"/>
                <w:shd w:val="clear" w:color="auto" w:fill="FFFFFF"/>
              </w:rPr>
              <w:t>Для анализаторов 5-Diff</w:t>
            </w:r>
          </w:p>
        </w:tc>
        <w:tc>
          <w:tcPr>
            <w:tcW w:w="993" w:type="dxa"/>
            <w:tcBorders>
              <w:bottom w:val="single" w:sz="4" w:space="0" w:color="auto"/>
            </w:tcBorders>
          </w:tcPr>
          <w:p w:rsidR="00EB75A5" w:rsidRPr="00DD15E8" w:rsidRDefault="00EB75A5" w:rsidP="00EB75A5">
            <w:pPr>
              <w:jc w:val="center"/>
              <w:rPr>
                <w:rFonts w:ascii="Times New Roman" w:eastAsia="Times New Roman" w:hAnsi="Times New Roman" w:cs="Times New Roman"/>
                <w:sz w:val="14"/>
                <w:szCs w:val="14"/>
                <w:lang w:eastAsia="ru-RU"/>
              </w:rPr>
            </w:pPr>
            <w:r w:rsidRPr="00DD15E8">
              <w:rPr>
                <w:rFonts w:ascii="Times New Roman" w:hAnsi="Times New Roman" w:cs="Times New Roman"/>
                <w:sz w:val="14"/>
                <w:szCs w:val="14"/>
              </w:rPr>
              <w:t>-</w:t>
            </w:r>
          </w:p>
        </w:tc>
        <w:tc>
          <w:tcPr>
            <w:tcW w:w="1984" w:type="dxa"/>
            <w:tcBorders>
              <w:bottom w:val="single" w:sz="4" w:space="0" w:color="auto"/>
            </w:tcBorders>
          </w:tcPr>
          <w:p w:rsidR="00EB75A5" w:rsidRPr="00DD15E8" w:rsidRDefault="00EB75A5" w:rsidP="00EB75A5">
            <w:pPr>
              <w:jc w:val="center"/>
              <w:rPr>
                <w:rFonts w:ascii="Times New Roman" w:eastAsia="Times New Roman" w:hAnsi="Times New Roman" w:cs="Times New Roman"/>
                <w:sz w:val="14"/>
                <w:szCs w:val="14"/>
                <w:lang w:eastAsia="ru-RU"/>
              </w:rPr>
            </w:pPr>
            <w:r w:rsidRPr="00DD15E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tcBorders>
              <w:bottom w:val="single" w:sz="4" w:space="0" w:color="auto"/>
            </w:tcBorders>
          </w:tcPr>
          <w:p w:rsidR="00EB75A5" w:rsidRPr="00DD15E8" w:rsidRDefault="00EB75A5" w:rsidP="00EB75A5">
            <w:pPr>
              <w:jc w:val="center"/>
              <w:rPr>
                <w:rFonts w:ascii="Times New Roman" w:eastAsia="Times New Roman" w:hAnsi="Times New Roman" w:cs="Times New Roman"/>
                <w:sz w:val="14"/>
                <w:szCs w:val="14"/>
                <w:lang w:eastAsia="ru-RU"/>
              </w:rPr>
            </w:pPr>
            <w:r w:rsidRPr="00DD15E8">
              <w:rPr>
                <w:rFonts w:ascii="Times New Roman" w:hAnsi="Times New Roman" w:cs="Times New Roman"/>
                <w:sz w:val="14"/>
                <w:szCs w:val="14"/>
              </w:rPr>
              <w:t>согласно КТРУ</w:t>
            </w:r>
          </w:p>
        </w:tc>
        <w:tc>
          <w:tcPr>
            <w:tcW w:w="992" w:type="dxa"/>
            <w:vMerge w:val="restart"/>
            <w:tcBorders>
              <w:bottom w:val="single" w:sz="4" w:space="0" w:color="auto"/>
            </w:tcBorders>
          </w:tcPr>
          <w:p w:rsidR="00EB75A5" w:rsidRPr="00DD15E8" w:rsidRDefault="00EB75A5" w:rsidP="007468F1">
            <w:pPr>
              <w:jc w:val="center"/>
              <w:rPr>
                <w:rFonts w:ascii="Times New Roman" w:hAnsi="Times New Roman" w:cs="Times New Roman"/>
                <w:sz w:val="14"/>
                <w:szCs w:val="14"/>
              </w:rPr>
            </w:pPr>
            <w:r w:rsidRPr="00DD15E8">
              <w:rPr>
                <w:rFonts w:ascii="Times New Roman" w:hAnsi="Times New Roman" w:cs="Times New Roman"/>
                <w:sz w:val="14"/>
                <w:szCs w:val="14"/>
              </w:rPr>
              <w:t>не менее 5 месяцев</w:t>
            </w:r>
          </w:p>
        </w:tc>
        <w:tc>
          <w:tcPr>
            <w:tcW w:w="851" w:type="dxa"/>
            <w:vMerge w:val="restart"/>
            <w:tcBorders>
              <w:bottom w:val="single" w:sz="4" w:space="0" w:color="auto"/>
            </w:tcBorders>
            <w:noWrap/>
            <w:hideMark/>
          </w:tcPr>
          <w:p w:rsidR="00EB75A5" w:rsidRPr="00DD15E8" w:rsidRDefault="00EB75A5" w:rsidP="007468F1">
            <w:pPr>
              <w:jc w:val="center"/>
              <w:rPr>
                <w:rFonts w:ascii="Times New Roman" w:hAnsi="Times New Roman" w:cs="Times New Roman"/>
                <w:sz w:val="14"/>
                <w:szCs w:val="14"/>
              </w:rPr>
            </w:pPr>
            <w:r w:rsidRPr="00DD15E8">
              <w:rPr>
                <w:rFonts w:ascii="Times New Roman" w:hAnsi="Times New Roman" w:cs="Times New Roman"/>
                <w:sz w:val="14"/>
                <w:szCs w:val="14"/>
              </w:rPr>
              <w:t>20</w:t>
            </w:r>
          </w:p>
        </w:tc>
        <w:tc>
          <w:tcPr>
            <w:tcW w:w="992" w:type="dxa"/>
            <w:vMerge w:val="restart"/>
            <w:tcBorders>
              <w:bottom w:val="single" w:sz="4" w:space="0" w:color="auto"/>
            </w:tcBorders>
          </w:tcPr>
          <w:p w:rsidR="00EB75A5" w:rsidRPr="00DD15E8" w:rsidRDefault="00EB75A5" w:rsidP="007468F1">
            <w:pPr>
              <w:jc w:val="center"/>
              <w:rPr>
                <w:rFonts w:ascii="Times New Roman" w:hAnsi="Times New Roman" w:cs="Times New Roman"/>
                <w:sz w:val="14"/>
                <w:szCs w:val="14"/>
              </w:rPr>
            </w:pPr>
            <w:r>
              <w:rPr>
                <w:rFonts w:ascii="Times New Roman" w:hAnsi="Times New Roman" w:cs="Times New Roman"/>
                <w:sz w:val="14"/>
                <w:szCs w:val="14"/>
              </w:rPr>
              <w:t>штука</w:t>
            </w:r>
          </w:p>
        </w:tc>
        <w:tc>
          <w:tcPr>
            <w:tcW w:w="851" w:type="dxa"/>
            <w:vMerge w:val="restart"/>
            <w:tcBorders>
              <w:bottom w:val="single" w:sz="4" w:space="0" w:color="auto"/>
            </w:tcBorders>
          </w:tcPr>
          <w:p w:rsidR="00EB75A5" w:rsidRPr="00DD15E8" w:rsidRDefault="00EB75A5" w:rsidP="007468F1">
            <w:pPr>
              <w:jc w:val="center"/>
              <w:rPr>
                <w:rFonts w:ascii="Times New Roman" w:hAnsi="Times New Roman" w:cs="Times New Roman"/>
                <w:sz w:val="14"/>
                <w:szCs w:val="14"/>
              </w:rPr>
            </w:pPr>
          </w:p>
        </w:tc>
        <w:tc>
          <w:tcPr>
            <w:tcW w:w="567" w:type="dxa"/>
            <w:vMerge w:val="restart"/>
            <w:tcBorders>
              <w:bottom w:val="single" w:sz="4" w:space="0" w:color="auto"/>
            </w:tcBorders>
          </w:tcPr>
          <w:p w:rsidR="00EB75A5" w:rsidRPr="00DD15E8" w:rsidRDefault="00EB75A5" w:rsidP="007468F1">
            <w:pPr>
              <w:jc w:val="center"/>
              <w:rPr>
                <w:rFonts w:ascii="Times New Roman" w:hAnsi="Times New Roman" w:cs="Times New Roman"/>
                <w:sz w:val="14"/>
                <w:szCs w:val="14"/>
              </w:rPr>
            </w:pPr>
          </w:p>
        </w:tc>
        <w:tc>
          <w:tcPr>
            <w:tcW w:w="566" w:type="dxa"/>
            <w:vMerge w:val="restart"/>
            <w:tcBorders>
              <w:bottom w:val="single" w:sz="4" w:space="0" w:color="auto"/>
            </w:tcBorders>
          </w:tcPr>
          <w:p w:rsidR="00EB75A5" w:rsidRPr="00DD15E8" w:rsidRDefault="00EB75A5" w:rsidP="007468F1">
            <w:pPr>
              <w:jc w:val="center"/>
              <w:rPr>
                <w:rFonts w:ascii="Times New Roman" w:hAnsi="Times New Roman" w:cs="Times New Roman"/>
                <w:sz w:val="14"/>
                <w:szCs w:val="14"/>
              </w:rPr>
            </w:pPr>
          </w:p>
        </w:tc>
        <w:tc>
          <w:tcPr>
            <w:tcW w:w="568" w:type="dxa"/>
            <w:vMerge w:val="restart"/>
            <w:tcBorders>
              <w:bottom w:val="single" w:sz="4" w:space="0" w:color="auto"/>
            </w:tcBorders>
          </w:tcPr>
          <w:p w:rsidR="00EB75A5" w:rsidRPr="00DD15E8" w:rsidRDefault="00EB75A5" w:rsidP="007468F1">
            <w:pPr>
              <w:jc w:val="center"/>
              <w:rPr>
                <w:rFonts w:ascii="Times New Roman" w:hAnsi="Times New Roman" w:cs="Times New Roman"/>
                <w:sz w:val="14"/>
                <w:szCs w:val="14"/>
              </w:rPr>
            </w:pPr>
          </w:p>
        </w:tc>
      </w:tr>
      <w:tr w:rsidR="00EB75A5" w:rsidRPr="00DD15E8" w:rsidTr="00EB75A5">
        <w:trPr>
          <w:trHeight w:val="402"/>
        </w:trPr>
        <w:tc>
          <w:tcPr>
            <w:tcW w:w="392" w:type="dxa"/>
            <w:vMerge/>
            <w:hideMark/>
          </w:tcPr>
          <w:p w:rsidR="00EB75A5" w:rsidRPr="00DD15E8" w:rsidRDefault="00EB75A5" w:rsidP="007468F1">
            <w:pPr>
              <w:rPr>
                <w:rFonts w:ascii="Times New Roman" w:hAnsi="Times New Roman" w:cs="Times New Roman"/>
                <w:bCs/>
                <w:sz w:val="14"/>
                <w:szCs w:val="14"/>
              </w:rPr>
            </w:pPr>
          </w:p>
        </w:tc>
        <w:tc>
          <w:tcPr>
            <w:tcW w:w="992" w:type="dxa"/>
            <w:vMerge/>
            <w:hideMark/>
          </w:tcPr>
          <w:p w:rsidR="00EB75A5" w:rsidRPr="00DD15E8" w:rsidRDefault="00EB75A5" w:rsidP="007468F1">
            <w:pPr>
              <w:rPr>
                <w:rFonts w:ascii="Times New Roman" w:hAnsi="Times New Roman" w:cs="Times New Roman"/>
                <w:bCs/>
                <w:sz w:val="14"/>
                <w:szCs w:val="14"/>
              </w:rPr>
            </w:pPr>
          </w:p>
        </w:tc>
        <w:tc>
          <w:tcPr>
            <w:tcW w:w="1559" w:type="dxa"/>
            <w:vMerge/>
            <w:hideMark/>
          </w:tcPr>
          <w:p w:rsidR="00EB75A5" w:rsidRPr="00DD15E8" w:rsidRDefault="00EB75A5" w:rsidP="007468F1">
            <w:pPr>
              <w:rPr>
                <w:rFonts w:ascii="Times New Roman" w:hAnsi="Times New Roman" w:cs="Times New Roman"/>
                <w:bCs/>
                <w:sz w:val="14"/>
                <w:szCs w:val="14"/>
              </w:rPr>
            </w:pPr>
          </w:p>
        </w:tc>
        <w:tc>
          <w:tcPr>
            <w:tcW w:w="1276" w:type="dxa"/>
            <w:noWrap/>
            <w:hideMark/>
          </w:tcPr>
          <w:p w:rsidR="00EB75A5" w:rsidRPr="00DD15E8" w:rsidRDefault="00EB75A5" w:rsidP="007468F1">
            <w:pPr>
              <w:rPr>
                <w:rFonts w:ascii="Times New Roman" w:hAnsi="Times New Roman" w:cs="Times New Roman"/>
                <w:sz w:val="14"/>
                <w:szCs w:val="14"/>
              </w:rPr>
            </w:pPr>
            <w:r w:rsidRPr="00DD15E8">
              <w:rPr>
                <w:rFonts w:ascii="Times New Roman" w:hAnsi="Times New Roman" w:cs="Times New Roman"/>
                <w:sz w:val="14"/>
                <w:szCs w:val="14"/>
              </w:rPr>
              <w:t>Объем реагента</w:t>
            </w:r>
          </w:p>
        </w:tc>
        <w:tc>
          <w:tcPr>
            <w:tcW w:w="1559" w:type="dxa"/>
            <w:noWrap/>
            <w:hideMark/>
          </w:tcPr>
          <w:p w:rsidR="00EB75A5" w:rsidRPr="00DD15E8" w:rsidRDefault="00EB75A5" w:rsidP="00EB75A5">
            <w:pPr>
              <w:jc w:val="center"/>
              <w:rPr>
                <w:rFonts w:ascii="Times New Roman" w:hAnsi="Times New Roman" w:cs="Times New Roman"/>
                <w:sz w:val="14"/>
                <w:szCs w:val="14"/>
              </w:rPr>
            </w:pPr>
            <w:r w:rsidRPr="00DD15E8">
              <w:rPr>
                <w:rFonts w:ascii="Times New Roman" w:hAnsi="Times New Roman" w:cs="Times New Roman"/>
                <w:sz w:val="14"/>
                <w:szCs w:val="14"/>
              </w:rPr>
              <w:t>50.0</w:t>
            </w:r>
          </w:p>
        </w:tc>
        <w:tc>
          <w:tcPr>
            <w:tcW w:w="993" w:type="dxa"/>
            <w:noWrap/>
            <w:hideMark/>
          </w:tcPr>
          <w:p w:rsidR="00EB75A5" w:rsidRPr="00DD15E8" w:rsidRDefault="00EB75A5" w:rsidP="00EB75A5">
            <w:pPr>
              <w:jc w:val="center"/>
              <w:rPr>
                <w:rFonts w:ascii="Times New Roman" w:hAnsi="Times New Roman" w:cs="Times New Roman"/>
                <w:sz w:val="14"/>
                <w:szCs w:val="14"/>
              </w:rPr>
            </w:pPr>
            <w:r w:rsidRPr="00DD15E8">
              <w:rPr>
                <w:rFonts w:ascii="Times New Roman" w:hAnsi="Times New Roman" w:cs="Times New Roman"/>
                <w:sz w:val="14"/>
                <w:szCs w:val="14"/>
                <w:shd w:val="clear" w:color="auto" w:fill="FFFFFF"/>
              </w:rPr>
              <w:t>Кубический сантиметр; миллилитр</w:t>
            </w:r>
          </w:p>
        </w:tc>
        <w:tc>
          <w:tcPr>
            <w:tcW w:w="1984" w:type="dxa"/>
          </w:tcPr>
          <w:p w:rsidR="00EB75A5" w:rsidRPr="00DD15E8" w:rsidRDefault="00EB75A5" w:rsidP="00EB75A5">
            <w:pPr>
              <w:jc w:val="center"/>
              <w:rPr>
                <w:rFonts w:ascii="Times New Roman" w:hAnsi="Times New Roman" w:cs="Times New Roman"/>
                <w:sz w:val="14"/>
                <w:szCs w:val="14"/>
              </w:rPr>
            </w:pPr>
            <w:r w:rsidRPr="00DD15E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hideMark/>
          </w:tcPr>
          <w:p w:rsidR="00EB75A5" w:rsidRPr="00DD15E8" w:rsidRDefault="00EB75A5" w:rsidP="00EB75A5">
            <w:pPr>
              <w:jc w:val="center"/>
              <w:rPr>
                <w:rFonts w:ascii="Times New Roman" w:hAnsi="Times New Roman" w:cs="Times New Roman"/>
                <w:sz w:val="14"/>
                <w:szCs w:val="14"/>
              </w:rPr>
            </w:pPr>
            <w:r w:rsidRPr="00DD15E8">
              <w:rPr>
                <w:rFonts w:ascii="Times New Roman" w:hAnsi="Times New Roman" w:cs="Times New Roman"/>
                <w:sz w:val="14"/>
                <w:szCs w:val="14"/>
              </w:rPr>
              <w:t>согласно КТРУ</w:t>
            </w:r>
          </w:p>
        </w:tc>
        <w:tc>
          <w:tcPr>
            <w:tcW w:w="992" w:type="dxa"/>
            <w:vMerge/>
          </w:tcPr>
          <w:p w:rsidR="00EB75A5" w:rsidRPr="00DD15E8" w:rsidRDefault="00EB75A5" w:rsidP="007468F1">
            <w:pPr>
              <w:jc w:val="center"/>
              <w:rPr>
                <w:rFonts w:ascii="Times New Roman" w:hAnsi="Times New Roman" w:cs="Times New Roman"/>
                <w:sz w:val="14"/>
                <w:szCs w:val="14"/>
              </w:rPr>
            </w:pPr>
          </w:p>
        </w:tc>
        <w:tc>
          <w:tcPr>
            <w:tcW w:w="851" w:type="dxa"/>
            <w:vMerge/>
            <w:hideMark/>
          </w:tcPr>
          <w:p w:rsidR="00EB75A5" w:rsidRPr="00DD15E8" w:rsidRDefault="00EB75A5" w:rsidP="007468F1">
            <w:pPr>
              <w:jc w:val="center"/>
              <w:rPr>
                <w:rFonts w:ascii="Times New Roman" w:hAnsi="Times New Roman" w:cs="Times New Roman"/>
                <w:sz w:val="14"/>
                <w:szCs w:val="14"/>
              </w:rPr>
            </w:pPr>
          </w:p>
        </w:tc>
        <w:tc>
          <w:tcPr>
            <w:tcW w:w="992" w:type="dxa"/>
            <w:vMerge/>
          </w:tcPr>
          <w:p w:rsidR="00EB75A5" w:rsidRPr="00DD15E8" w:rsidRDefault="00EB75A5" w:rsidP="007468F1">
            <w:pPr>
              <w:jc w:val="center"/>
              <w:rPr>
                <w:rFonts w:ascii="Times New Roman" w:hAnsi="Times New Roman" w:cs="Times New Roman"/>
                <w:sz w:val="14"/>
                <w:szCs w:val="14"/>
              </w:rPr>
            </w:pPr>
          </w:p>
        </w:tc>
        <w:tc>
          <w:tcPr>
            <w:tcW w:w="851" w:type="dxa"/>
            <w:vMerge/>
          </w:tcPr>
          <w:p w:rsidR="00EB75A5" w:rsidRPr="00DD15E8" w:rsidRDefault="00EB75A5" w:rsidP="007468F1">
            <w:pPr>
              <w:jc w:val="center"/>
              <w:rPr>
                <w:rFonts w:ascii="Times New Roman" w:hAnsi="Times New Roman" w:cs="Times New Roman"/>
                <w:sz w:val="14"/>
                <w:szCs w:val="14"/>
              </w:rPr>
            </w:pPr>
          </w:p>
        </w:tc>
        <w:tc>
          <w:tcPr>
            <w:tcW w:w="567" w:type="dxa"/>
            <w:vMerge/>
          </w:tcPr>
          <w:p w:rsidR="00EB75A5" w:rsidRPr="00DD15E8" w:rsidRDefault="00EB75A5" w:rsidP="007468F1">
            <w:pPr>
              <w:jc w:val="center"/>
              <w:rPr>
                <w:rFonts w:ascii="Times New Roman" w:hAnsi="Times New Roman" w:cs="Times New Roman"/>
                <w:sz w:val="14"/>
                <w:szCs w:val="14"/>
              </w:rPr>
            </w:pPr>
          </w:p>
        </w:tc>
        <w:tc>
          <w:tcPr>
            <w:tcW w:w="566" w:type="dxa"/>
            <w:vMerge/>
          </w:tcPr>
          <w:p w:rsidR="00EB75A5" w:rsidRPr="00DD15E8" w:rsidRDefault="00EB75A5" w:rsidP="007468F1">
            <w:pPr>
              <w:jc w:val="center"/>
              <w:rPr>
                <w:rFonts w:ascii="Times New Roman" w:hAnsi="Times New Roman" w:cs="Times New Roman"/>
                <w:sz w:val="14"/>
                <w:szCs w:val="14"/>
              </w:rPr>
            </w:pPr>
          </w:p>
        </w:tc>
        <w:tc>
          <w:tcPr>
            <w:tcW w:w="568" w:type="dxa"/>
            <w:vMerge/>
          </w:tcPr>
          <w:p w:rsidR="00EB75A5" w:rsidRPr="00DD15E8" w:rsidRDefault="00EB75A5" w:rsidP="007468F1">
            <w:pPr>
              <w:jc w:val="center"/>
              <w:rPr>
                <w:rFonts w:ascii="Times New Roman" w:hAnsi="Times New Roman" w:cs="Times New Roman"/>
                <w:sz w:val="14"/>
                <w:szCs w:val="14"/>
              </w:rPr>
            </w:pPr>
          </w:p>
        </w:tc>
      </w:tr>
      <w:tr w:rsidR="00EB75A5" w:rsidRPr="00DD15E8" w:rsidTr="00EB75A5">
        <w:trPr>
          <w:trHeight w:val="402"/>
        </w:trPr>
        <w:tc>
          <w:tcPr>
            <w:tcW w:w="392" w:type="dxa"/>
            <w:vMerge/>
            <w:hideMark/>
          </w:tcPr>
          <w:p w:rsidR="00EB75A5" w:rsidRPr="00DD15E8" w:rsidRDefault="00EB75A5" w:rsidP="007468F1">
            <w:pPr>
              <w:rPr>
                <w:rFonts w:ascii="Times New Roman" w:hAnsi="Times New Roman" w:cs="Times New Roman"/>
                <w:bCs/>
                <w:sz w:val="14"/>
                <w:szCs w:val="14"/>
              </w:rPr>
            </w:pPr>
          </w:p>
        </w:tc>
        <w:tc>
          <w:tcPr>
            <w:tcW w:w="992" w:type="dxa"/>
            <w:vMerge/>
            <w:hideMark/>
          </w:tcPr>
          <w:p w:rsidR="00EB75A5" w:rsidRPr="00DD15E8" w:rsidRDefault="00EB75A5" w:rsidP="007468F1">
            <w:pPr>
              <w:rPr>
                <w:rFonts w:ascii="Times New Roman" w:hAnsi="Times New Roman" w:cs="Times New Roman"/>
                <w:bCs/>
                <w:sz w:val="14"/>
                <w:szCs w:val="14"/>
              </w:rPr>
            </w:pPr>
          </w:p>
        </w:tc>
        <w:tc>
          <w:tcPr>
            <w:tcW w:w="1559" w:type="dxa"/>
            <w:vMerge/>
            <w:hideMark/>
          </w:tcPr>
          <w:p w:rsidR="00EB75A5" w:rsidRPr="00DD15E8" w:rsidRDefault="00EB75A5" w:rsidP="007468F1">
            <w:pPr>
              <w:rPr>
                <w:rFonts w:ascii="Times New Roman" w:hAnsi="Times New Roman" w:cs="Times New Roman"/>
                <w:bCs/>
                <w:sz w:val="14"/>
                <w:szCs w:val="14"/>
              </w:rPr>
            </w:pPr>
          </w:p>
        </w:tc>
        <w:tc>
          <w:tcPr>
            <w:tcW w:w="1276" w:type="dxa"/>
            <w:noWrap/>
            <w:hideMark/>
          </w:tcPr>
          <w:p w:rsidR="00EB75A5" w:rsidRPr="00DD15E8" w:rsidRDefault="00EB75A5" w:rsidP="007468F1">
            <w:pPr>
              <w:rPr>
                <w:rFonts w:ascii="Times New Roman" w:hAnsi="Times New Roman" w:cs="Times New Roman"/>
                <w:sz w:val="14"/>
                <w:szCs w:val="14"/>
              </w:rPr>
            </w:pPr>
            <w:r w:rsidRPr="00DD15E8">
              <w:rPr>
                <w:rFonts w:ascii="Times New Roman" w:hAnsi="Times New Roman" w:cs="Times New Roman"/>
                <w:sz w:val="14"/>
                <w:szCs w:val="14"/>
              </w:rPr>
              <w:t>Состав</w:t>
            </w:r>
          </w:p>
        </w:tc>
        <w:tc>
          <w:tcPr>
            <w:tcW w:w="1559" w:type="dxa"/>
            <w:noWrap/>
            <w:hideMark/>
          </w:tcPr>
          <w:p w:rsidR="00EB75A5" w:rsidRPr="00DD15E8" w:rsidRDefault="00EB75A5" w:rsidP="00EB75A5">
            <w:pPr>
              <w:jc w:val="center"/>
              <w:rPr>
                <w:rFonts w:ascii="Times New Roman" w:hAnsi="Times New Roman" w:cs="Times New Roman"/>
                <w:sz w:val="14"/>
                <w:szCs w:val="14"/>
              </w:rPr>
            </w:pPr>
            <w:r w:rsidRPr="00DD15E8">
              <w:rPr>
                <w:rFonts w:ascii="Times New Roman" w:hAnsi="Times New Roman" w:cs="Times New Roman"/>
                <w:sz w:val="14"/>
                <w:szCs w:val="14"/>
              </w:rPr>
              <w:t>Гипохлорит натрия 5% в водном растворе</w:t>
            </w:r>
          </w:p>
        </w:tc>
        <w:tc>
          <w:tcPr>
            <w:tcW w:w="993" w:type="dxa"/>
            <w:hideMark/>
          </w:tcPr>
          <w:p w:rsidR="00EB75A5" w:rsidRPr="00DD15E8" w:rsidRDefault="00EB75A5" w:rsidP="00EB75A5">
            <w:pPr>
              <w:jc w:val="center"/>
              <w:rPr>
                <w:rFonts w:ascii="Times New Roman" w:hAnsi="Times New Roman" w:cs="Times New Roman"/>
                <w:sz w:val="14"/>
                <w:szCs w:val="14"/>
              </w:rPr>
            </w:pPr>
            <w:r w:rsidRPr="00DD15E8">
              <w:rPr>
                <w:rFonts w:ascii="Times New Roman" w:hAnsi="Times New Roman" w:cs="Times New Roman"/>
                <w:sz w:val="14"/>
                <w:szCs w:val="14"/>
              </w:rPr>
              <w:t>-</w:t>
            </w:r>
          </w:p>
        </w:tc>
        <w:tc>
          <w:tcPr>
            <w:tcW w:w="1984" w:type="dxa"/>
          </w:tcPr>
          <w:p w:rsidR="00EB75A5" w:rsidRPr="00DD15E8" w:rsidRDefault="00EB75A5" w:rsidP="00EB75A5">
            <w:pPr>
              <w:jc w:val="center"/>
              <w:rPr>
                <w:rFonts w:ascii="Times New Roman" w:hAnsi="Times New Roman" w:cs="Times New Roman"/>
                <w:sz w:val="14"/>
                <w:szCs w:val="14"/>
              </w:rPr>
            </w:pPr>
            <w:r w:rsidRPr="00DD15E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noWrap/>
            <w:hideMark/>
          </w:tcPr>
          <w:p w:rsidR="00EB75A5" w:rsidRPr="00DD15E8" w:rsidRDefault="00EB75A5" w:rsidP="00EB75A5">
            <w:pPr>
              <w:jc w:val="center"/>
              <w:rPr>
                <w:rFonts w:ascii="Times New Roman" w:hAnsi="Times New Roman" w:cs="Times New Roman"/>
                <w:sz w:val="14"/>
                <w:szCs w:val="14"/>
              </w:rPr>
            </w:pPr>
            <w:r w:rsidRPr="00DD15E8">
              <w:rPr>
                <w:rFonts w:ascii="Times New Roman" w:hAnsi="Times New Roman" w:cs="Times New Roman"/>
                <w:sz w:val="14"/>
                <w:szCs w:val="14"/>
              </w:rPr>
              <w:t>Для стабильной работы оборудования в соответствии с инструкцией</w:t>
            </w:r>
          </w:p>
        </w:tc>
        <w:tc>
          <w:tcPr>
            <w:tcW w:w="992" w:type="dxa"/>
            <w:vMerge/>
          </w:tcPr>
          <w:p w:rsidR="00EB75A5" w:rsidRPr="00DD15E8" w:rsidRDefault="00EB75A5" w:rsidP="007468F1">
            <w:pPr>
              <w:jc w:val="center"/>
              <w:rPr>
                <w:rFonts w:ascii="Times New Roman" w:hAnsi="Times New Roman" w:cs="Times New Roman"/>
                <w:sz w:val="14"/>
                <w:szCs w:val="14"/>
              </w:rPr>
            </w:pPr>
          </w:p>
        </w:tc>
        <w:tc>
          <w:tcPr>
            <w:tcW w:w="851" w:type="dxa"/>
            <w:vMerge/>
            <w:hideMark/>
          </w:tcPr>
          <w:p w:rsidR="00EB75A5" w:rsidRPr="00DD15E8" w:rsidRDefault="00EB75A5" w:rsidP="007468F1">
            <w:pPr>
              <w:jc w:val="center"/>
              <w:rPr>
                <w:rFonts w:ascii="Times New Roman" w:hAnsi="Times New Roman" w:cs="Times New Roman"/>
                <w:sz w:val="14"/>
                <w:szCs w:val="14"/>
              </w:rPr>
            </w:pPr>
          </w:p>
        </w:tc>
        <w:tc>
          <w:tcPr>
            <w:tcW w:w="992" w:type="dxa"/>
            <w:vMerge/>
          </w:tcPr>
          <w:p w:rsidR="00EB75A5" w:rsidRPr="00DD15E8" w:rsidRDefault="00EB75A5" w:rsidP="007468F1">
            <w:pPr>
              <w:jc w:val="center"/>
              <w:rPr>
                <w:rFonts w:ascii="Times New Roman" w:hAnsi="Times New Roman" w:cs="Times New Roman"/>
                <w:sz w:val="14"/>
                <w:szCs w:val="14"/>
              </w:rPr>
            </w:pPr>
          </w:p>
        </w:tc>
        <w:tc>
          <w:tcPr>
            <w:tcW w:w="851" w:type="dxa"/>
            <w:vMerge/>
          </w:tcPr>
          <w:p w:rsidR="00EB75A5" w:rsidRPr="00DD15E8" w:rsidRDefault="00EB75A5" w:rsidP="007468F1">
            <w:pPr>
              <w:jc w:val="center"/>
              <w:rPr>
                <w:rFonts w:ascii="Times New Roman" w:hAnsi="Times New Roman" w:cs="Times New Roman"/>
                <w:sz w:val="14"/>
                <w:szCs w:val="14"/>
              </w:rPr>
            </w:pPr>
          </w:p>
        </w:tc>
        <w:tc>
          <w:tcPr>
            <w:tcW w:w="567" w:type="dxa"/>
            <w:vMerge/>
          </w:tcPr>
          <w:p w:rsidR="00EB75A5" w:rsidRPr="00DD15E8" w:rsidRDefault="00EB75A5" w:rsidP="007468F1">
            <w:pPr>
              <w:jc w:val="center"/>
              <w:rPr>
                <w:rFonts w:ascii="Times New Roman" w:hAnsi="Times New Roman" w:cs="Times New Roman"/>
                <w:sz w:val="14"/>
                <w:szCs w:val="14"/>
              </w:rPr>
            </w:pPr>
          </w:p>
        </w:tc>
        <w:tc>
          <w:tcPr>
            <w:tcW w:w="566" w:type="dxa"/>
            <w:vMerge/>
          </w:tcPr>
          <w:p w:rsidR="00EB75A5" w:rsidRPr="00DD15E8" w:rsidRDefault="00EB75A5" w:rsidP="007468F1">
            <w:pPr>
              <w:jc w:val="center"/>
              <w:rPr>
                <w:rFonts w:ascii="Times New Roman" w:hAnsi="Times New Roman" w:cs="Times New Roman"/>
                <w:sz w:val="14"/>
                <w:szCs w:val="14"/>
              </w:rPr>
            </w:pPr>
          </w:p>
        </w:tc>
        <w:tc>
          <w:tcPr>
            <w:tcW w:w="568" w:type="dxa"/>
            <w:vMerge/>
          </w:tcPr>
          <w:p w:rsidR="00EB75A5" w:rsidRPr="00DD15E8" w:rsidRDefault="00EB75A5" w:rsidP="007468F1">
            <w:pPr>
              <w:jc w:val="center"/>
              <w:rPr>
                <w:rFonts w:ascii="Times New Roman" w:hAnsi="Times New Roman" w:cs="Times New Roman"/>
                <w:sz w:val="14"/>
                <w:szCs w:val="14"/>
              </w:rPr>
            </w:pPr>
          </w:p>
        </w:tc>
      </w:tr>
      <w:tr w:rsidR="00EB75A5" w:rsidRPr="00DD15E8" w:rsidTr="00EB75A5">
        <w:trPr>
          <w:trHeight w:val="402"/>
        </w:trPr>
        <w:tc>
          <w:tcPr>
            <w:tcW w:w="392" w:type="dxa"/>
            <w:vMerge/>
            <w:hideMark/>
          </w:tcPr>
          <w:p w:rsidR="00EB75A5" w:rsidRPr="00DD15E8" w:rsidRDefault="00EB75A5" w:rsidP="007468F1">
            <w:pPr>
              <w:rPr>
                <w:rFonts w:ascii="Times New Roman" w:hAnsi="Times New Roman" w:cs="Times New Roman"/>
                <w:bCs/>
                <w:sz w:val="14"/>
                <w:szCs w:val="14"/>
              </w:rPr>
            </w:pPr>
          </w:p>
        </w:tc>
        <w:tc>
          <w:tcPr>
            <w:tcW w:w="992" w:type="dxa"/>
            <w:vMerge/>
            <w:hideMark/>
          </w:tcPr>
          <w:p w:rsidR="00EB75A5" w:rsidRPr="00DD15E8" w:rsidRDefault="00EB75A5" w:rsidP="007468F1">
            <w:pPr>
              <w:rPr>
                <w:rFonts w:ascii="Times New Roman" w:hAnsi="Times New Roman" w:cs="Times New Roman"/>
                <w:bCs/>
                <w:sz w:val="14"/>
                <w:szCs w:val="14"/>
              </w:rPr>
            </w:pPr>
          </w:p>
        </w:tc>
        <w:tc>
          <w:tcPr>
            <w:tcW w:w="1559" w:type="dxa"/>
            <w:vMerge/>
            <w:hideMark/>
          </w:tcPr>
          <w:p w:rsidR="00EB75A5" w:rsidRPr="00DD15E8" w:rsidRDefault="00EB75A5" w:rsidP="007468F1">
            <w:pPr>
              <w:rPr>
                <w:rFonts w:ascii="Times New Roman" w:hAnsi="Times New Roman" w:cs="Times New Roman"/>
                <w:bCs/>
                <w:sz w:val="14"/>
                <w:szCs w:val="14"/>
              </w:rPr>
            </w:pPr>
          </w:p>
        </w:tc>
        <w:tc>
          <w:tcPr>
            <w:tcW w:w="1276" w:type="dxa"/>
            <w:hideMark/>
          </w:tcPr>
          <w:p w:rsidR="00EB75A5" w:rsidRPr="00DD15E8" w:rsidRDefault="00EB75A5" w:rsidP="007468F1">
            <w:pPr>
              <w:rPr>
                <w:rFonts w:ascii="Times New Roman" w:hAnsi="Times New Roman" w:cs="Times New Roman"/>
                <w:sz w:val="14"/>
                <w:szCs w:val="14"/>
              </w:rPr>
            </w:pPr>
            <w:r w:rsidRPr="00DD15E8">
              <w:rPr>
                <w:rFonts w:ascii="Times New Roman" w:hAnsi="Times New Roman" w:cs="Times New Roman"/>
                <w:sz w:val="14"/>
                <w:szCs w:val="14"/>
              </w:rPr>
              <w:t xml:space="preserve">Совместимость </w:t>
            </w:r>
          </w:p>
        </w:tc>
        <w:tc>
          <w:tcPr>
            <w:tcW w:w="1559" w:type="dxa"/>
            <w:hideMark/>
          </w:tcPr>
          <w:p w:rsidR="00EB75A5" w:rsidRPr="00DD15E8" w:rsidRDefault="00EB75A5" w:rsidP="00EB75A5">
            <w:pPr>
              <w:jc w:val="center"/>
              <w:rPr>
                <w:rFonts w:ascii="Times New Roman" w:hAnsi="Times New Roman" w:cs="Times New Roman"/>
                <w:sz w:val="14"/>
                <w:szCs w:val="14"/>
              </w:rPr>
            </w:pPr>
            <w:r w:rsidRPr="00DD15E8">
              <w:rPr>
                <w:rFonts w:ascii="Times New Roman" w:hAnsi="Times New Roman" w:cs="Times New Roman"/>
                <w:sz w:val="14"/>
                <w:szCs w:val="14"/>
              </w:rPr>
              <w:t>Совместимость с анализатором Sysmex, имеющемуся у заказчика</w:t>
            </w:r>
          </w:p>
          <w:p w:rsidR="00EB75A5" w:rsidRPr="00DD15E8" w:rsidRDefault="00EB75A5" w:rsidP="00EB75A5">
            <w:pPr>
              <w:jc w:val="center"/>
              <w:rPr>
                <w:rFonts w:ascii="Times New Roman" w:hAnsi="Times New Roman" w:cs="Times New Roman"/>
                <w:sz w:val="14"/>
                <w:szCs w:val="14"/>
              </w:rPr>
            </w:pPr>
          </w:p>
        </w:tc>
        <w:tc>
          <w:tcPr>
            <w:tcW w:w="993" w:type="dxa"/>
            <w:hideMark/>
          </w:tcPr>
          <w:p w:rsidR="00EB75A5" w:rsidRPr="00DD15E8" w:rsidRDefault="00EB75A5" w:rsidP="00EB75A5">
            <w:pPr>
              <w:jc w:val="center"/>
              <w:rPr>
                <w:rFonts w:ascii="Times New Roman" w:hAnsi="Times New Roman" w:cs="Times New Roman"/>
                <w:sz w:val="14"/>
                <w:szCs w:val="14"/>
              </w:rPr>
            </w:pPr>
            <w:r w:rsidRPr="00DD15E8">
              <w:rPr>
                <w:rFonts w:ascii="Times New Roman" w:hAnsi="Times New Roman" w:cs="Times New Roman"/>
                <w:sz w:val="14"/>
                <w:szCs w:val="14"/>
              </w:rPr>
              <w:t>-</w:t>
            </w:r>
          </w:p>
        </w:tc>
        <w:tc>
          <w:tcPr>
            <w:tcW w:w="1984" w:type="dxa"/>
          </w:tcPr>
          <w:p w:rsidR="00EB75A5" w:rsidRPr="00DD15E8" w:rsidRDefault="00EB75A5" w:rsidP="00EB75A5">
            <w:pPr>
              <w:jc w:val="center"/>
              <w:rPr>
                <w:rFonts w:ascii="Times New Roman" w:hAnsi="Times New Roman" w:cs="Times New Roman"/>
                <w:sz w:val="14"/>
                <w:szCs w:val="14"/>
              </w:rPr>
            </w:pPr>
            <w:r w:rsidRPr="00DD15E8">
              <w:rPr>
                <w:rFonts w:ascii="Times New Roman" w:eastAsia="Times New Roman" w:hAnsi="Times New Roman" w:cs="Times New Roman"/>
                <w:sz w:val="14"/>
                <w:szCs w:val="14"/>
                <w:lang w:eastAsia="ru-RU"/>
              </w:rPr>
              <w:t>Значение характеристики не может изменяться участником закупки</w:t>
            </w:r>
          </w:p>
        </w:tc>
        <w:tc>
          <w:tcPr>
            <w:tcW w:w="1701" w:type="dxa"/>
            <w:hideMark/>
          </w:tcPr>
          <w:p w:rsidR="00EB75A5" w:rsidRPr="00DD15E8" w:rsidRDefault="00EB75A5" w:rsidP="00EB75A5">
            <w:pPr>
              <w:jc w:val="center"/>
              <w:rPr>
                <w:rFonts w:ascii="Times New Roman" w:hAnsi="Times New Roman" w:cs="Times New Roman"/>
                <w:sz w:val="14"/>
                <w:szCs w:val="14"/>
              </w:rPr>
            </w:pPr>
            <w:r w:rsidRPr="00DD15E8">
              <w:rPr>
                <w:rFonts w:ascii="Times New Roman" w:hAnsi="Times New Roman" w:cs="Times New Roman"/>
                <w:sz w:val="14"/>
                <w:szCs w:val="14"/>
              </w:rPr>
              <w:t>ГОСТ Р 53079.2-2008 часть 2. п.3.9 «Оборудование лаборатории»: Оборудование должно соответствовать видам исследований, выполняемых в лаборатории, быть в рабочем состоянии. Работу на приборах следует проводить в соответствии с инструкцией производителя к данному прибору</w:t>
            </w:r>
          </w:p>
        </w:tc>
        <w:tc>
          <w:tcPr>
            <w:tcW w:w="992" w:type="dxa"/>
            <w:vMerge/>
          </w:tcPr>
          <w:p w:rsidR="00EB75A5" w:rsidRPr="00DD15E8" w:rsidRDefault="00EB75A5" w:rsidP="007468F1">
            <w:pPr>
              <w:jc w:val="center"/>
              <w:rPr>
                <w:rFonts w:ascii="Times New Roman" w:hAnsi="Times New Roman" w:cs="Times New Roman"/>
                <w:sz w:val="14"/>
                <w:szCs w:val="14"/>
              </w:rPr>
            </w:pPr>
          </w:p>
        </w:tc>
        <w:tc>
          <w:tcPr>
            <w:tcW w:w="851" w:type="dxa"/>
            <w:vMerge/>
            <w:hideMark/>
          </w:tcPr>
          <w:p w:rsidR="00EB75A5" w:rsidRPr="00DD15E8" w:rsidRDefault="00EB75A5" w:rsidP="007468F1">
            <w:pPr>
              <w:jc w:val="center"/>
              <w:rPr>
                <w:rFonts w:ascii="Times New Roman" w:hAnsi="Times New Roman" w:cs="Times New Roman"/>
                <w:sz w:val="14"/>
                <w:szCs w:val="14"/>
              </w:rPr>
            </w:pPr>
          </w:p>
        </w:tc>
        <w:tc>
          <w:tcPr>
            <w:tcW w:w="992" w:type="dxa"/>
            <w:vMerge/>
          </w:tcPr>
          <w:p w:rsidR="00EB75A5" w:rsidRPr="00DD15E8" w:rsidRDefault="00EB75A5" w:rsidP="007468F1">
            <w:pPr>
              <w:jc w:val="center"/>
              <w:rPr>
                <w:rFonts w:ascii="Times New Roman" w:hAnsi="Times New Roman" w:cs="Times New Roman"/>
                <w:sz w:val="14"/>
                <w:szCs w:val="14"/>
              </w:rPr>
            </w:pPr>
          </w:p>
        </w:tc>
        <w:tc>
          <w:tcPr>
            <w:tcW w:w="851" w:type="dxa"/>
            <w:vMerge/>
          </w:tcPr>
          <w:p w:rsidR="00EB75A5" w:rsidRPr="00DD15E8" w:rsidRDefault="00EB75A5" w:rsidP="007468F1">
            <w:pPr>
              <w:jc w:val="center"/>
              <w:rPr>
                <w:rFonts w:ascii="Times New Roman" w:hAnsi="Times New Roman" w:cs="Times New Roman"/>
                <w:sz w:val="14"/>
                <w:szCs w:val="14"/>
              </w:rPr>
            </w:pPr>
          </w:p>
        </w:tc>
        <w:tc>
          <w:tcPr>
            <w:tcW w:w="567" w:type="dxa"/>
            <w:vMerge/>
          </w:tcPr>
          <w:p w:rsidR="00EB75A5" w:rsidRPr="00DD15E8" w:rsidRDefault="00EB75A5" w:rsidP="007468F1">
            <w:pPr>
              <w:jc w:val="center"/>
              <w:rPr>
                <w:rFonts w:ascii="Times New Roman" w:hAnsi="Times New Roman" w:cs="Times New Roman"/>
                <w:sz w:val="14"/>
                <w:szCs w:val="14"/>
              </w:rPr>
            </w:pPr>
          </w:p>
        </w:tc>
        <w:tc>
          <w:tcPr>
            <w:tcW w:w="566" w:type="dxa"/>
            <w:vMerge/>
          </w:tcPr>
          <w:p w:rsidR="00EB75A5" w:rsidRPr="00DD15E8" w:rsidRDefault="00EB75A5" w:rsidP="007468F1">
            <w:pPr>
              <w:jc w:val="center"/>
              <w:rPr>
                <w:rFonts w:ascii="Times New Roman" w:hAnsi="Times New Roman" w:cs="Times New Roman"/>
                <w:sz w:val="14"/>
                <w:szCs w:val="14"/>
              </w:rPr>
            </w:pPr>
          </w:p>
        </w:tc>
        <w:tc>
          <w:tcPr>
            <w:tcW w:w="568" w:type="dxa"/>
            <w:vMerge/>
          </w:tcPr>
          <w:p w:rsidR="00EB75A5" w:rsidRPr="00DD15E8" w:rsidRDefault="00EB75A5" w:rsidP="007468F1">
            <w:pPr>
              <w:jc w:val="center"/>
              <w:rPr>
                <w:rFonts w:ascii="Times New Roman" w:hAnsi="Times New Roman" w:cs="Times New Roman"/>
                <w:sz w:val="14"/>
                <w:szCs w:val="14"/>
              </w:rPr>
            </w:pPr>
          </w:p>
        </w:tc>
      </w:tr>
    </w:tbl>
    <w:p w:rsidR="00DD15E8" w:rsidRDefault="00DD15E8" w:rsidP="00DD15E8">
      <w:pPr>
        <w:spacing w:after="0" w:line="240" w:lineRule="auto"/>
        <w:rPr>
          <w:rFonts w:ascii="Times New Roman" w:eastAsia="Times New Roman" w:hAnsi="Times New Roman" w:cs="Times New Roman"/>
          <w:b/>
          <w:bCs/>
          <w:i/>
          <w:color w:val="000000"/>
          <w:lang w:eastAsia="ru-RU"/>
        </w:rPr>
      </w:pPr>
    </w:p>
    <w:p w:rsidR="00DD15E8" w:rsidRDefault="00DD15E8" w:rsidP="00DD15E8">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170252" w:rsidRDefault="00170252" w:rsidP="000820E3">
      <w:pPr>
        <w:rPr>
          <w:rFonts w:ascii="Times New Roman" w:hAnsi="Times New Roman" w:cs="Times New Roman"/>
          <w:b/>
          <w:sz w:val="28"/>
          <w:szCs w:val="28"/>
        </w:rPr>
      </w:pPr>
    </w:p>
    <w:sectPr w:rsidR="00170252" w:rsidSect="00DD15E8">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B1B" w:rsidRDefault="00793B1B">
      <w:pPr>
        <w:spacing w:after="0" w:line="240" w:lineRule="auto"/>
      </w:pPr>
      <w:r>
        <w:separator/>
      </w:r>
    </w:p>
  </w:endnote>
  <w:endnote w:type="continuationSeparator" w:id="0">
    <w:p w:rsidR="00793B1B" w:rsidRDefault="0079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65C" w:rsidRDefault="0047265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7265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7265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7265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7265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B75A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7265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B75A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B1B" w:rsidRDefault="00793B1B">
      <w:pPr>
        <w:spacing w:after="0" w:line="240" w:lineRule="auto"/>
      </w:pPr>
      <w:r>
        <w:separator/>
      </w:r>
    </w:p>
  </w:footnote>
  <w:footnote w:type="continuationSeparator" w:id="0">
    <w:p w:rsidR="00793B1B" w:rsidRDefault="00793B1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65C" w:rsidRDefault="0047265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65C" w:rsidRDefault="0047265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65C" w:rsidRDefault="0047265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65C"/>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93B1B"/>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15E8"/>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B75A5"/>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BBB2-3984-4265-9BE1-382D0CA3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6067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2025-12-04T10:58:00Z</dcterms:created>
  <dcterms:modified xsi:type="dcterms:W3CDTF">2025-12-04T10:58:00Z</dcterms:modified>
</cp:coreProperties>
</file>