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07.05.2025 № 21.1-03/924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16.05.2025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27FC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7293"/>
        <w:gridCol w:w="7549"/>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A3BC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полки расширения «DEPO Storage 2324 JBOD RAIDIX_DC/12Q20000G7/24HSQ/550W2HS/RMK/2373/123ONS3DS»</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 года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A3BC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A3BC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Участник указывает в заявке</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A3BC1">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штука</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A3BC1">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203" w:tblpY="1"/>
        <w:tblOverlap w:val="never"/>
        <w:tblW w:w="1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
        <w:gridCol w:w="2408"/>
        <w:gridCol w:w="1124"/>
        <w:gridCol w:w="2268"/>
        <w:gridCol w:w="1560"/>
        <w:gridCol w:w="1129"/>
        <w:gridCol w:w="2131"/>
        <w:gridCol w:w="719"/>
        <w:gridCol w:w="708"/>
        <w:gridCol w:w="1134"/>
        <w:gridCol w:w="851"/>
        <w:gridCol w:w="851"/>
        <w:gridCol w:w="850"/>
      </w:tblGrid>
      <w:tr w:rsidR="00041BC7" w:rsidRPr="00967A2A" w:rsidTr="00041BC7">
        <w:tc>
          <w:tcPr>
            <w:tcW w:w="432" w:type="dxa"/>
            <w:vMerge w:val="restart"/>
            <w:vAlign w:val="center"/>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w:t>
            </w:r>
          </w:p>
        </w:tc>
        <w:tc>
          <w:tcPr>
            <w:tcW w:w="2408" w:type="dxa"/>
            <w:vMerge w:val="restart"/>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Наименование товара, работы, услуги</w:t>
            </w:r>
          </w:p>
        </w:tc>
        <w:tc>
          <w:tcPr>
            <w:tcW w:w="1124" w:type="dxa"/>
            <w:vMerge w:val="restart"/>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Код позиции</w:t>
            </w:r>
          </w:p>
        </w:tc>
        <w:tc>
          <w:tcPr>
            <w:tcW w:w="7088" w:type="dxa"/>
            <w:gridSpan w:val="4"/>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Характеристики товара, работы, услуги</w:t>
            </w:r>
          </w:p>
        </w:tc>
        <w:tc>
          <w:tcPr>
            <w:tcW w:w="719" w:type="dxa"/>
            <w:vMerge w:val="restart"/>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Кол-во</w:t>
            </w:r>
          </w:p>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p>
        </w:tc>
        <w:tc>
          <w:tcPr>
            <w:tcW w:w="708" w:type="dxa"/>
            <w:vMerge w:val="restart"/>
            <w:tcMar>
              <w:top w:w="75" w:type="dxa"/>
              <w:left w:w="75" w:type="dxa"/>
              <w:bottom w:w="75" w:type="dxa"/>
              <w:right w:w="75" w:type="dxa"/>
            </w:tcMar>
            <w:vAlign w:val="center"/>
            <w:hideMark/>
          </w:tcPr>
          <w:p w:rsidR="00041BC7" w:rsidRPr="00967A2A" w:rsidRDefault="00041BC7" w:rsidP="00016E0D">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Ед. изм.</w:t>
            </w:r>
          </w:p>
        </w:tc>
        <w:tc>
          <w:tcPr>
            <w:tcW w:w="1134" w:type="dxa"/>
            <w:vMerge w:val="restart"/>
            <w:shd w:val="clear" w:color="auto" w:fill="FFFF00"/>
            <w:vAlign w:val="center"/>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 реестровой записи ГИСП</w:t>
            </w:r>
          </w:p>
        </w:tc>
        <w:tc>
          <w:tcPr>
            <w:tcW w:w="851" w:type="dxa"/>
            <w:vMerge w:val="restart"/>
            <w:shd w:val="clear" w:color="auto" w:fill="FFFF00"/>
            <w:vAlign w:val="center"/>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Страна происхождения</w:t>
            </w:r>
          </w:p>
        </w:tc>
        <w:tc>
          <w:tcPr>
            <w:tcW w:w="851" w:type="dxa"/>
            <w:vMerge w:val="restart"/>
            <w:shd w:val="clear" w:color="auto" w:fill="FFFF00"/>
            <w:vAlign w:val="center"/>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Цена за ед. (руб.)</w:t>
            </w:r>
          </w:p>
        </w:tc>
        <w:tc>
          <w:tcPr>
            <w:tcW w:w="850" w:type="dxa"/>
            <w:vMerge w:val="restart"/>
            <w:shd w:val="clear" w:color="auto" w:fill="FFFF00"/>
            <w:vAlign w:val="center"/>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Сумма (руб.)</w:t>
            </w:r>
          </w:p>
        </w:tc>
      </w:tr>
      <w:tr w:rsidR="00041BC7" w:rsidRPr="00967A2A" w:rsidTr="00041BC7">
        <w:trPr>
          <w:trHeight w:val="109"/>
        </w:trPr>
        <w:tc>
          <w:tcPr>
            <w:tcW w:w="432" w:type="dxa"/>
            <w:vMerge/>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2408" w:type="dxa"/>
            <w:vMerge/>
            <w:vAlign w:val="center"/>
            <w:hideMark/>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1124" w:type="dxa"/>
            <w:vMerge/>
            <w:vAlign w:val="center"/>
            <w:hideMark/>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2268" w:type="dxa"/>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Наименование характеристики</w:t>
            </w:r>
          </w:p>
        </w:tc>
        <w:tc>
          <w:tcPr>
            <w:tcW w:w="1560" w:type="dxa"/>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Значение характеристики</w:t>
            </w:r>
          </w:p>
        </w:tc>
        <w:tc>
          <w:tcPr>
            <w:tcW w:w="1129" w:type="dxa"/>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Единица измерения характеристики</w:t>
            </w:r>
          </w:p>
        </w:tc>
        <w:tc>
          <w:tcPr>
            <w:tcW w:w="2131" w:type="dxa"/>
            <w:tcMar>
              <w:top w:w="75" w:type="dxa"/>
              <w:left w:w="75" w:type="dxa"/>
              <w:bottom w:w="75" w:type="dxa"/>
              <w:right w:w="75" w:type="dxa"/>
            </w:tcMar>
            <w:vAlign w:val="center"/>
            <w:hideMark/>
          </w:tcPr>
          <w:p w:rsidR="00041BC7" w:rsidRPr="00967A2A" w:rsidRDefault="00041BC7" w:rsidP="002D41F4">
            <w:pPr>
              <w:spacing w:after="0" w:line="240" w:lineRule="auto"/>
              <w:jc w:val="center"/>
              <w:rPr>
                <w:rFonts w:ascii="Times New Roman" w:hAnsi="Times New Roman" w:cs="Times New Roman"/>
                <w:b/>
                <w:bCs/>
                <w:color w:val="000000"/>
                <w:sz w:val="18"/>
                <w:szCs w:val="18"/>
                <w:lang w:eastAsia="ru-RU"/>
              </w:rPr>
            </w:pPr>
            <w:r w:rsidRPr="00967A2A">
              <w:rPr>
                <w:rFonts w:ascii="Times New Roman" w:hAnsi="Times New Roman" w:cs="Times New Roman"/>
                <w:b/>
                <w:bCs/>
                <w:color w:val="000000"/>
                <w:sz w:val="18"/>
                <w:szCs w:val="18"/>
                <w:lang w:eastAsia="ru-RU"/>
              </w:rPr>
              <w:t>Инструкция по заполнению характеристик в заявке</w:t>
            </w:r>
          </w:p>
        </w:tc>
        <w:tc>
          <w:tcPr>
            <w:tcW w:w="719" w:type="dxa"/>
            <w:vMerge/>
            <w:vAlign w:val="center"/>
            <w:hideMark/>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708" w:type="dxa"/>
            <w:vMerge/>
            <w:vAlign w:val="center"/>
            <w:hideMark/>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1134" w:type="dxa"/>
            <w:vMerge/>
            <w:shd w:val="clear" w:color="auto" w:fill="FFFF00"/>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851" w:type="dxa"/>
            <w:vMerge/>
            <w:shd w:val="clear" w:color="auto" w:fill="FFFF00"/>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851" w:type="dxa"/>
            <w:vMerge/>
            <w:shd w:val="clear" w:color="auto" w:fill="FFFF00"/>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c>
          <w:tcPr>
            <w:tcW w:w="850" w:type="dxa"/>
            <w:vMerge/>
            <w:shd w:val="clear" w:color="auto" w:fill="FFFF00"/>
          </w:tcPr>
          <w:p w:rsidR="00041BC7" w:rsidRPr="00967A2A" w:rsidRDefault="00041BC7" w:rsidP="002D41F4">
            <w:pPr>
              <w:spacing w:after="0" w:line="240" w:lineRule="auto"/>
              <w:rPr>
                <w:rFonts w:ascii="Times New Roman" w:hAnsi="Times New Roman" w:cs="Times New Roman"/>
                <w:b/>
                <w:bCs/>
                <w:color w:val="000000"/>
                <w:sz w:val="18"/>
                <w:szCs w:val="18"/>
                <w:lang w:eastAsia="ru-RU"/>
              </w:rPr>
            </w:pPr>
          </w:p>
        </w:tc>
      </w:tr>
      <w:tr w:rsidR="00041BC7" w:rsidRPr="00967A2A" w:rsidTr="00041BC7">
        <w:trPr>
          <w:trHeight w:val="174"/>
        </w:trPr>
        <w:tc>
          <w:tcPr>
            <w:tcW w:w="432" w:type="dxa"/>
            <w:vMerge w:val="restart"/>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 xml:space="preserve">1. </w:t>
            </w:r>
          </w:p>
        </w:tc>
        <w:tc>
          <w:tcPr>
            <w:tcW w:w="2408" w:type="dxa"/>
            <w:vMerge w:val="restart"/>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Полка расширения «</w:t>
            </w:r>
            <w:r w:rsidRPr="00967A2A">
              <w:rPr>
                <w:rFonts w:ascii="Times New Roman" w:hAnsi="Times New Roman" w:cs="Times New Roman"/>
                <w:color w:val="000000"/>
                <w:sz w:val="18"/>
                <w:szCs w:val="18"/>
                <w:lang w:val="en-US" w:eastAsia="ru-RU"/>
              </w:rPr>
              <w:t>DEPO</w:t>
            </w:r>
            <w:r w:rsidRPr="00967A2A">
              <w:rPr>
                <w:rFonts w:ascii="Times New Roman" w:hAnsi="Times New Roman" w:cs="Times New Roman"/>
                <w:color w:val="000000"/>
                <w:sz w:val="18"/>
                <w:szCs w:val="18"/>
                <w:lang w:eastAsia="ru-RU"/>
              </w:rPr>
              <w:t xml:space="preserve"> </w:t>
            </w:r>
            <w:r w:rsidRPr="00967A2A">
              <w:rPr>
                <w:rFonts w:ascii="Times New Roman" w:hAnsi="Times New Roman" w:cs="Times New Roman"/>
                <w:color w:val="000000"/>
                <w:sz w:val="18"/>
                <w:szCs w:val="18"/>
                <w:lang w:val="en-US" w:eastAsia="ru-RU"/>
              </w:rPr>
              <w:t>Storage</w:t>
            </w:r>
            <w:r w:rsidRPr="00967A2A">
              <w:rPr>
                <w:rFonts w:ascii="Times New Roman" w:hAnsi="Times New Roman" w:cs="Times New Roman"/>
                <w:color w:val="000000"/>
                <w:sz w:val="18"/>
                <w:szCs w:val="18"/>
                <w:lang w:eastAsia="ru-RU"/>
              </w:rPr>
              <w:t xml:space="preserve"> 2324 </w:t>
            </w:r>
            <w:r w:rsidRPr="00967A2A">
              <w:rPr>
                <w:rFonts w:ascii="Times New Roman" w:hAnsi="Times New Roman" w:cs="Times New Roman"/>
                <w:color w:val="000000"/>
                <w:sz w:val="18"/>
                <w:szCs w:val="18"/>
                <w:lang w:val="en-US" w:eastAsia="ru-RU"/>
              </w:rPr>
              <w:t>JBOD</w:t>
            </w:r>
            <w:r w:rsidRPr="00967A2A">
              <w:rPr>
                <w:rFonts w:ascii="Times New Roman" w:hAnsi="Times New Roman" w:cs="Times New Roman"/>
                <w:color w:val="000000"/>
                <w:sz w:val="18"/>
                <w:szCs w:val="18"/>
                <w:lang w:eastAsia="ru-RU"/>
              </w:rPr>
              <w:t xml:space="preserve"> </w:t>
            </w:r>
            <w:r w:rsidRPr="00967A2A">
              <w:rPr>
                <w:rFonts w:ascii="Times New Roman" w:hAnsi="Times New Roman" w:cs="Times New Roman"/>
                <w:color w:val="000000"/>
                <w:sz w:val="18"/>
                <w:szCs w:val="18"/>
                <w:lang w:val="en-US" w:eastAsia="ru-RU"/>
              </w:rPr>
              <w:t>RAIDIX</w:t>
            </w:r>
            <w:r w:rsidRPr="00967A2A">
              <w:rPr>
                <w:rFonts w:ascii="Times New Roman" w:hAnsi="Times New Roman" w:cs="Times New Roman"/>
                <w:color w:val="000000"/>
                <w:sz w:val="18"/>
                <w:szCs w:val="18"/>
                <w:lang w:eastAsia="ru-RU"/>
              </w:rPr>
              <w:t>_</w:t>
            </w:r>
            <w:r w:rsidRPr="00967A2A">
              <w:rPr>
                <w:rFonts w:ascii="Times New Roman" w:hAnsi="Times New Roman" w:cs="Times New Roman"/>
                <w:color w:val="000000"/>
                <w:sz w:val="18"/>
                <w:szCs w:val="18"/>
                <w:lang w:val="en-US" w:eastAsia="ru-RU"/>
              </w:rPr>
              <w:t>DC</w:t>
            </w:r>
            <w:r w:rsidRPr="00967A2A">
              <w:rPr>
                <w:rFonts w:ascii="Times New Roman" w:hAnsi="Times New Roman" w:cs="Times New Roman"/>
                <w:color w:val="000000"/>
                <w:sz w:val="18"/>
                <w:szCs w:val="18"/>
                <w:lang w:eastAsia="ru-RU"/>
              </w:rPr>
              <w:t>/12</w:t>
            </w:r>
            <w:r w:rsidRPr="00967A2A">
              <w:rPr>
                <w:rFonts w:ascii="Times New Roman" w:hAnsi="Times New Roman" w:cs="Times New Roman"/>
                <w:color w:val="000000"/>
                <w:sz w:val="18"/>
                <w:szCs w:val="18"/>
                <w:lang w:val="en-US" w:eastAsia="ru-RU"/>
              </w:rPr>
              <w:t>Q</w:t>
            </w:r>
            <w:r w:rsidRPr="00967A2A">
              <w:rPr>
                <w:rFonts w:ascii="Times New Roman" w:hAnsi="Times New Roman" w:cs="Times New Roman"/>
                <w:color w:val="000000"/>
                <w:sz w:val="18"/>
                <w:szCs w:val="18"/>
                <w:lang w:eastAsia="ru-RU"/>
              </w:rPr>
              <w:t>20000</w:t>
            </w:r>
            <w:r w:rsidRPr="00967A2A">
              <w:rPr>
                <w:rFonts w:ascii="Times New Roman" w:hAnsi="Times New Roman" w:cs="Times New Roman"/>
                <w:color w:val="000000"/>
                <w:sz w:val="18"/>
                <w:szCs w:val="18"/>
                <w:lang w:val="en-US" w:eastAsia="ru-RU"/>
              </w:rPr>
              <w:t>G</w:t>
            </w:r>
            <w:r w:rsidRPr="00967A2A">
              <w:rPr>
                <w:rFonts w:ascii="Times New Roman" w:hAnsi="Times New Roman" w:cs="Times New Roman"/>
                <w:color w:val="000000"/>
                <w:sz w:val="18"/>
                <w:szCs w:val="18"/>
                <w:lang w:eastAsia="ru-RU"/>
              </w:rPr>
              <w:t>7/24</w:t>
            </w:r>
            <w:r w:rsidRPr="00967A2A">
              <w:rPr>
                <w:rFonts w:ascii="Times New Roman" w:hAnsi="Times New Roman" w:cs="Times New Roman"/>
                <w:color w:val="000000"/>
                <w:sz w:val="18"/>
                <w:szCs w:val="18"/>
                <w:lang w:val="en-US" w:eastAsia="ru-RU"/>
              </w:rPr>
              <w:t>HSQ</w:t>
            </w:r>
            <w:r w:rsidRPr="00967A2A">
              <w:rPr>
                <w:rFonts w:ascii="Times New Roman" w:hAnsi="Times New Roman" w:cs="Times New Roman"/>
                <w:color w:val="000000"/>
                <w:sz w:val="18"/>
                <w:szCs w:val="18"/>
                <w:lang w:eastAsia="ru-RU"/>
              </w:rPr>
              <w:t>/550</w:t>
            </w:r>
            <w:r w:rsidRPr="00967A2A">
              <w:rPr>
                <w:rFonts w:ascii="Times New Roman" w:hAnsi="Times New Roman" w:cs="Times New Roman"/>
                <w:color w:val="000000"/>
                <w:sz w:val="18"/>
                <w:szCs w:val="18"/>
                <w:lang w:val="en-US" w:eastAsia="ru-RU"/>
              </w:rPr>
              <w:t>W</w:t>
            </w:r>
            <w:r w:rsidRPr="00967A2A">
              <w:rPr>
                <w:rFonts w:ascii="Times New Roman" w:hAnsi="Times New Roman" w:cs="Times New Roman"/>
                <w:color w:val="000000"/>
                <w:sz w:val="18"/>
                <w:szCs w:val="18"/>
                <w:lang w:eastAsia="ru-RU"/>
              </w:rPr>
              <w:t>2</w:t>
            </w:r>
            <w:r w:rsidRPr="00967A2A">
              <w:rPr>
                <w:rFonts w:ascii="Times New Roman" w:hAnsi="Times New Roman" w:cs="Times New Roman"/>
                <w:color w:val="000000"/>
                <w:sz w:val="18"/>
                <w:szCs w:val="18"/>
                <w:lang w:val="en-US" w:eastAsia="ru-RU"/>
              </w:rPr>
              <w:t>HS</w:t>
            </w:r>
            <w:r w:rsidRPr="00967A2A">
              <w:rPr>
                <w:rFonts w:ascii="Times New Roman" w:hAnsi="Times New Roman" w:cs="Times New Roman"/>
                <w:color w:val="000000"/>
                <w:sz w:val="18"/>
                <w:szCs w:val="18"/>
                <w:lang w:eastAsia="ru-RU"/>
              </w:rPr>
              <w:t>/</w:t>
            </w:r>
            <w:r w:rsidRPr="00967A2A">
              <w:rPr>
                <w:rFonts w:ascii="Times New Roman" w:hAnsi="Times New Roman" w:cs="Times New Roman"/>
                <w:color w:val="000000"/>
                <w:sz w:val="18"/>
                <w:szCs w:val="18"/>
                <w:lang w:val="en-US" w:eastAsia="ru-RU"/>
              </w:rPr>
              <w:t>RMK</w:t>
            </w:r>
            <w:r w:rsidRPr="00967A2A">
              <w:rPr>
                <w:rFonts w:ascii="Times New Roman" w:hAnsi="Times New Roman" w:cs="Times New Roman"/>
                <w:color w:val="000000"/>
                <w:sz w:val="18"/>
                <w:szCs w:val="18"/>
                <w:lang w:eastAsia="ru-RU"/>
              </w:rPr>
              <w:t>/2373/123</w:t>
            </w:r>
            <w:r w:rsidRPr="00967A2A">
              <w:rPr>
                <w:rFonts w:ascii="Times New Roman" w:hAnsi="Times New Roman" w:cs="Times New Roman"/>
                <w:color w:val="000000"/>
                <w:sz w:val="18"/>
                <w:szCs w:val="18"/>
                <w:lang w:val="en-US" w:eastAsia="ru-RU"/>
              </w:rPr>
              <w:t>ONS</w:t>
            </w:r>
            <w:r w:rsidRPr="00967A2A">
              <w:rPr>
                <w:rFonts w:ascii="Times New Roman" w:hAnsi="Times New Roman" w:cs="Times New Roman"/>
                <w:color w:val="000000"/>
                <w:sz w:val="18"/>
                <w:szCs w:val="18"/>
                <w:lang w:eastAsia="ru-RU"/>
              </w:rPr>
              <w:t>3</w:t>
            </w:r>
            <w:r w:rsidRPr="00967A2A">
              <w:rPr>
                <w:rFonts w:ascii="Times New Roman" w:hAnsi="Times New Roman" w:cs="Times New Roman"/>
                <w:color w:val="000000"/>
                <w:sz w:val="18"/>
                <w:szCs w:val="18"/>
                <w:lang w:val="en-US" w:eastAsia="ru-RU"/>
              </w:rPr>
              <w:t>DS</w:t>
            </w:r>
            <w:r w:rsidRPr="00967A2A">
              <w:rPr>
                <w:rFonts w:ascii="Times New Roman" w:hAnsi="Times New Roman" w:cs="Times New Roman"/>
                <w:color w:val="000000"/>
                <w:sz w:val="18"/>
                <w:szCs w:val="18"/>
                <w:lang w:eastAsia="ru-RU"/>
              </w:rPr>
              <w:t>»</w:t>
            </w:r>
          </w:p>
        </w:tc>
        <w:tc>
          <w:tcPr>
            <w:tcW w:w="1124" w:type="dxa"/>
            <w:vMerge w:val="restart"/>
          </w:tcPr>
          <w:p w:rsidR="00041BC7" w:rsidRPr="00967A2A" w:rsidRDefault="00041BC7" w:rsidP="00016E0D">
            <w:pPr>
              <w:spacing w:after="0" w:line="240" w:lineRule="auto"/>
              <w:ind w:left="5"/>
              <w:jc w:val="center"/>
              <w:rPr>
                <w:rFonts w:ascii="Times New Roman" w:hAnsi="Times New Roman" w:cs="Times New Roman"/>
                <w:color w:val="000000"/>
                <w:sz w:val="18"/>
                <w:szCs w:val="18"/>
                <w:lang w:val="en-US" w:eastAsia="ru-RU"/>
              </w:rPr>
            </w:pPr>
            <w:r w:rsidRPr="00967A2A">
              <w:rPr>
                <w:rFonts w:ascii="Times New Roman" w:hAnsi="Times New Roman" w:cs="Times New Roman"/>
                <w:color w:val="000000"/>
                <w:sz w:val="18"/>
                <w:szCs w:val="18"/>
                <w:lang w:eastAsia="ru-RU"/>
              </w:rPr>
              <w:t>26.20.21.110</w:t>
            </w: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Высота модуля расширения, RU</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4</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val="restart"/>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1</w:t>
            </w:r>
          </w:p>
        </w:tc>
        <w:tc>
          <w:tcPr>
            <w:tcW w:w="708" w:type="dxa"/>
            <w:vMerge w:val="restart"/>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Штука</w:t>
            </w:r>
          </w:p>
        </w:tc>
        <w:tc>
          <w:tcPr>
            <w:tcW w:w="1134" w:type="dxa"/>
            <w:vMerge w:val="restart"/>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val="restart"/>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val="restart"/>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val="restart"/>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pStyle w:val="a7"/>
              <w:numPr>
                <w:ilvl w:val="0"/>
                <w:numId w:val="20"/>
              </w:numPr>
              <w:spacing w:after="0" w:line="240" w:lineRule="auto"/>
              <w:ind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334059"/>
                <w:sz w:val="18"/>
                <w:szCs w:val="18"/>
                <w:shd w:val="clear" w:color="auto" w:fill="FFFFFF"/>
              </w:rPr>
            </w:pPr>
          </w:p>
        </w:tc>
        <w:tc>
          <w:tcPr>
            <w:tcW w:w="1124" w:type="dxa"/>
            <w:vMerge/>
          </w:tcPr>
          <w:p w:rsidR="00041BC7" w:rsidRPr="00967A2A" w:rsidRDefault="00041BC7" w:rsidP="00EA3BC1">
            <w:pPr>
              <w:spacing w:after="0" w:line="240" w:lineRule="auto"/>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Тип установки</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Стоечный</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pStyle w:val="a7"/>
              <w:numPr>
                <w:ilvl w:val="0"/>
                <w:numId w:val="20"/>
              </w:numPr>
              <w:spacing w:after="0" w:line="240" w:lineRule="auto"/>
              <w:ind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334059"/>
                <w:sz w:val="18"/>
                <w:szCs w:val="18"/>
                <w:shd w:val="clear" w:color="auto" w:fill="FFFFFF"/>
              </w:rPr>
            </w:pPr>
          </w:p>
        </w:tc>
        <w:tc>
          <w:tcPr>
            <w:tcW w:w="1124" w:type="dxa"/>
            <w:vMerge/>
          </w:tcPr>
          <w:p w:rsidR="00041BC7" w:rsidRPr="00967A2A" w:rsidRDefault="00041BC7" w:rsidP="00EA3BC1">
            <w:pPr>
              <w:spacing w:after="0" w:line="240" w:lineRule="auto"/>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Количество блоков питания с возможностью «горячей» замены</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2</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Штука</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pStyle w:val="a7"/>
              <w:numPr>
                <w:ilvl w:val="0"/>
                <w:numId w:val="20"/>
              </w:numPr>
              <w:spacing w:after="0" w:line="240" w:lineRule="auto"/>
              <w:ind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334059"/>
                <w:sz w:val="18"/>
                <w:szCs w:val="18"/>
                <w:shd w:val="clear" w:color="auto" w:fill="FFFFFF"/>
              </w:rPr>
            </w:pPr>
          </w:p>
        </w:tc>
        <w:tc>
          <w:tcPr>
            <w:tcW w:w="1124" w:type="dxa"/>
            <w:vMerge/>
          </w:tcPr>
          <w:p w:rsidR="00041BC7" w:rsidRPr="00967A2A" w:rsidRDefault="00041BC7" w:rsidP="00EA3BC1">
            <w:pPr>
              <w:spacing w:after="0" w:line="240" w:lineRule="auto"/>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Мощность одного блока питания, Вт</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500</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Ватт</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pStyle w:val="a7"/>
              <w:numPr>
                <w:ilvl w:val="0"/>
                <w:numId w:val="20"/>
              </w:numPr>
              <w:spacing w:after="0" w:line="240" w:lineRule="auto"/>
              <w:ind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334059"/>
                <w:sz w:val="18"/>
                <w:szCs w:val="18"/>
                <w:shd w:val="clear" w:color="auto" w:fill="FFFFFF"/>
              </w:rPr>
            </w:pPr>
          </w:p>
        </w:tc>
        <w:tc>
          <w:tcPr>
            <w:tcW w:w="1124" w:type="dxa"/>
            <w:vMerge/>
          </w:tcPr>
          <w:p w:rsidR="00041BC7" w:rsidRPr="00967A2A" w:rsidRDefault="00041BC7" w:rsidP="00EA3BC1">
            <w:pPr>
              <w:spacing w:after="0" w:line="240" w:lineRule="auto"/>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Количество слотов для установки накопителей в модуле расширения</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24</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Штука</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pStyle w:val="a7"/>
              <w:numPr>
                <w:ilvl w:val="0"/>
                <w:numId w:val="20"/>
              </w:numPr>
              <w:spacing w:after="0" w:line="240" w:lineRule="auto"/>
              <w:ind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Поддержка дисков с интерфейсом SAS 12Gb</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Соответствие</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Интерфейс каждого порта ввода-вывода</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SAS</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Количество интерфейсных кабелей SAS</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4</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Штука</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6B5DFC">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Количество накопителей, установленных в модуле расширения</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12</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Штука</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Объем каждого накопителя HDD</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20 000</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Гигабайт</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Скорость вращения шпинделя каждого накопителя HDD</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 7 200</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Оборотов в минуту</w:t>
            </w: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Интерфейс подключения каждого накопителя HDD</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SAS 12 Гбит/с</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r w:rsidR="00041BC7" w:rsidRPr="00967A2A" w:rsidTr="00041BC7">
        <w:trPr>
          <w:trHeight w:val="174"/>
        </w:trPr>
        <w:tc>
          <w:tcPr>
            <w:tcW w:w="432" w:type="dxa"/>
            <w:vMerge/>
          </w:tcPr>
          <w:p w:rsidR="00041BC7" w:rsidRPr="00967A2A" w:rsidRDefault="00041BC7" w:rsidP="00EA3BC1">
            <w:pPr>
              <w:spacing w:after="0" w:line="240" w:lineRule="auto"/>
              <w:ind w:left="360" w:right="141"/>
              <w:rPr>
                <w:rFonts w:ascii="Times New Roman" w:hAnsi="Times New Roman" w:cs="Times New Roman"/>
                <w:color w:val="000000"/>
                <w:sz w:val="18"/>
                <w:szCs w:val="18"/>
                <w:lang w:eastAsia="ru-RU"/>
              </w:rPr>
            </w:pPr>
          </w:p>
        </w:tc>
        <w:tc>
          <w:tcPr>
            <w:tcW w:w="2408" w:type="dxa"/>
            <w:vMerge/>
          </w:tcPr>
          <w:p w:rsidR="00041BC7" w:rsidRPr="00967A2A" w:rsidRDefault="00041BC7" w:rsidP="00EA3BC1">
            <w:pPr>
              <w:spacing w:after="0" w:line="240" w:lineRule="auto"/>
              <w:ind w:left="141" w:right="141"/>
              <w:rPr>
                <w:rFonts w:ascii="Times New Roman" w:hAnsi="Times New Roman" w:cs="Times New Roman"/>
                <w:color w:val="000000"/>
                <w:sz w:val="18"/>
                <w:szCs w:val="18"/>
                <w:lang w:eastAsia="ru-RU"/>
              </w:rPr>
            </w:pPr>
          </w:p>
        </w:tc>
        <w:tc>
          <w:tcPr>
            <w:tcW w:w="1124" w:type="dxa"/>
            <w:vMerge/>
          </w:tcPr>
          <w:p w:rsidR="00041BC7" w:rsidRPr="00967A2A" w:rsidRDefault="00041BC7" w:rsidP="00EA3BC1">
            <w:pPr>
              <w:spacing w:after="0" w:line="240" w:lineRule="auto"/>
              <w:ind w:left="141" w:right="141"/>
              <w:jc w:val="center"/>
              <w:rPr>
                <w:rFonts w:ascii="Times New Roman" w:hAnsi="Times New Roman" w:cs="Times New Roman"/>
                <w:color w:val="000000"/>
                <w:sz w:val="18"/>
                <w:szCs w:val="18"/>
                <w:lang w:eastAsia="ru-RU"/>
              </w:rPr>
            </w:pPr>
          </w:p>
        </w:tc>
        <w:tc>
          <w:tcPr>
            <w:tcW w:w="2268" w:type="dxa"/>
            <w:tcMar>
              <w:top w:w="75" w:type="dxa"/>
              <w:left w:w="75" w:type="dxa"/>
              <w:bottom w:w="75" w:type="dxa"/>
              <w:right w:w="75" w:type="dxa"/>
            </w:tcMar>
            <w:vAlign w:val="center"/>
          </w:tcPr>
          <w:p w:rsidR="00041BC7" w:rsidRPr="00967A2A" w:rsidRDefault="00041BC7" w:rsidP="00EA3BC1">
            <w:pPr>
              <w:spacing w:after="0" w:line="240" w:lineRule="auto"/>
              <w:ind w:right="141"/>
              <w:rPr>
                <w:rFonts w:ascii="Times New Roman" w:hAnsi="Times New Roman" w:cs="Times New Roman"/>
                <w:color w:val="000000"/>
                <w:sz w:val="18"/>
                <w:szCs w:val="18"/>
                <w:lang w:eastAsia="ru-RU"/>
              </w:rPr>
            </w:pPr>
            <w:r w:rsidRPr="00967A2A">
              <w:rPr>
                <w:rFonts w:ascii="Times New Roman" w:hAnsi="Times New Roman" w:cs="Times New Roman"/>
                <w:bCs/>
                <w:sz w:val="18"/>
                <w:szCs w:val="18"/>
              </w:rPr>
              <w:t>Опция Raidix '+24 диска'</w:t>
            </w:r>
          </w:p>
        </w:tc>
        <w:tc>
          <w:tcPr>
            <w:tcW w:w="1560" w:type="dxa"/>
            <w:tcMar>
              <w:top w:w="75" w:type="dxa"/>
              <w:left w:w="75" w:type="dxa"/>
              <w:bottom w:w="75" w:type="dxa"/>
              <w:right w:w="75" w:type="dxa"/>
            </w:tcMar>
            <w:vAlign w:val="center"/>
          </w:tcPr>
          <w:p w:rsidR="00041BC7" w:rsidRPr="00967A2A" w:rsidRDefault="00041BC7" w:rsidP="00EA3BC1">
            <w:pPr>
              <w:tabs>
                <w:tab w:val="left" w:pos="709"/>
              </w:tabs>
              <w:spacing w:after="0" w:line="240" w:lineRule="auto"/>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Соответствие</w:t>
            </w:r>
          </w:p>
        </w:tc>
        <w:tc>
          <w:tcPr>
            <w:tcW w:w="1129" w:type="dxa"/>
            <w:tcMar>
              <w:top w:w="75" w:type="dxa"/>
              <w:left w:w="75" w:type="dxa"/>
              <w:bottom w:w="75" w:type="dxa"/>
              <w:right w:w="75" w:type="dxa"/>
            </w:tcMar>
            <w:vAlign w:val="center"/>
          </w:tcPr>
          <w:p w:rsidR="00041BC7" w:rsidRPr="00967A2A" w:rsidRDefault="00041BC7" w:rsidP="00B2359E">
            <w:pPr>
              <w:spacing w:after="0" w:line="240" w:lineRule="auto"/>
              <w:ind w:left="74" w:right="47"/>
              <w:jc w:val="center"/>
              <w:rPr>
                <w:rFonts w:ascii="Times New Roman" w:hAnsi="Times New Roman" w:cs="Times New Roman"/>
                <w:color w:val="000000"/>
                <w:sz w:val="18"/>
                <w:szCs w:val="18"/>
                <w:lang w:eastAsia="ru-RU"/>
              </w:rPr>
            </w:pPr>
          </w:p>
        </w:tc>
        <w:tc>
          <w:tcPr>
            <w:tcW w:w="2131" w:type="dxa"/>
            <w:tcMar>
              <w:top w:w="75" w:type="dxa"/>
              <w:left w:w="75" w:type="dxa"/>
              <w:bottom w:w="75" w:type="dxa"/>
              <w:right w:w="75" w:type="dxa"/>
            </w:tcMar>
            <w:vAlign w:val="center"/>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r w:rsidRPr="00967A2A">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719"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708" w:type="dxa"/>
            <w:vMerge/>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1134"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1"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c>
          <w:tcPr>
            <w:tcW w:w="850" w:type="dxa"/>
            <w:vMerge/>
            <w:shd w:val="clear" w:color="auto" w:fill="FFFF00"/>
          </w:tcPr>
          <w:p w:rsidR="00041BC7" w:rsidRPr="00967A2A" w:rsidRDefault="00041BC7" w:rsidP="00EA3BC1">
            <w:pPr>
              <w:spacing w:after="0" w:line="240" w:lineRule="auto"/>
              <w:jc w:val="center"/>
              <w:rPr>
                <w:rFonts w:ascii="Times New Roman" w:hAnsi="Times New Roman" w:cs="Times New Roman"/>
                <w:color w:val="000000"/>
                <w:sz w:val="18"/>
                <w:szCs w:val="18"/>
                <w:lang w:eastAsia="ru-RU"/>
              </w:rPr>
            </w:pPr>
          </w:p>
        </w:tc>
      </w:tr>
    </w:tbl>
    <w:p w:rsidR="00EA3BC1" w:rsidRPr="006B5DFC" w:rsidRDefault="00EA3BC1" w:rsidP="00EA3BC1">
      <w:pPr>
        <w:pStyle w:val="a7"/>
        <w:widowControl w:val="0"/>
        <w:spacing w:after="0"/>
        <w:ind w:left="0"/>
        <w:jc w:val="center"/>
        <w:rPr>
          <w:rFonts w:ascii="Times New Roman" w:eastAsia="Courier New" w:hAnsi="Times New Roman" w:cs="Times New Roman"/>
          <w:b/>
        </w:rPr>
      </w:pPr>
    </w:p>
    <w:p w:rsidR="006B5DFC" w:rsidRDefault="006B5DFC" w:rsidP="00F5269E">
      <w:pPr>
        <w:spacing w:after="0" w:line="240" w:lineRule="auto"/>
        <w:jc w:val="both"/>
        <w:rPr>
          <w:rFonts w:ascii="Times New Roman" w:hAnsi="Times New Roman"/>
          <w:sz w:val="20"/>
          <w:szCs w:val="20"/>
        </w:rPr>
      </w:pPr>
      <w:r w:rsidRPr="00B2359E">
        <w:rPr>
          <w:rFonts w:ascii="Times New Roman" w:hAnsi="Times New Roman"/>
          <w:sz w:val="20"/>
          <w:szCs w:val="20"/>
        </w:rPr>
        <w:t>*</w:t>
      </w:r>
      <w:r w:rsidR="00F5269E" w:rsidRPr="00F5269E">
        <w:rPr>
          <w:rFonts w:ascii="Times New Roman" w:hAnsi="Times New Roman"/>
          <w:sz w:val="20"/>
          <w:szCs w:val="20"/>
        </w:rPr>
        <w:t>*В связи с необходимостью обеспечения взаимодействия приобретаемого аппаратного обеспечения с сервером «DEPO Storm 5400Z4R» (s/n 504449-001), используемым Покупателем, и соблюдением условий предоставления гарантии на оборудование эквивалент на указанное аппаратное обеспечение не предусмотрен.</w:t>
      </w:r>
    </w:p>
    <w:p w:rsidR="00F5269E" w:rsidRPr="00B2359E" w:rsidRDefault="00F5269E" w:rsidP="00F5269E">
      <w:pPr>
        <w:spacing w:after="0" w:line="240" w:lineRule="auto"/>
        <w:jc w:val="both"/>
        <w:rPr>
          <w:rFonts w:ascii="Times New Roman" w:hAnsi="Times New Roman" w:cs="Times New Roman"/>
          <w:sz w:val="20"/>
          <w:szCs w:val="20"/>
        </w:rPr>
      </w:pPr>
    </w:p>
    <w:p w:rsidR="006B5DFC" w:rsidRPr="00B2359E" w:rsidRDefault="006B5DFC" w:rsidP="006B5DFC">
      <w:pPr>
        <w:spacing w:after="0" w:line="240" w:lineRule="auto"/>
        <w:jc w:val="both"/>
        <w:rPr>
          <w:rFonts w:ascii="Times New Roman" w:hAnsi="Times New Roman"/>
          <w:b/>
          <w:sz w:val="20"/>
          <w:szCs w:val="20"/>
        </w:rPr>
      </w:pPr>
      <w:r w:rsidRPr="00B2359E">
        <w:rPr>
          <w:rFonts w:ascii="Times New Roman" w:hAnsi="Times New Roman" w:cs="Times New Roman"/>
          <w:b/>
          <w:bCs/>
          <w:sz w:val="20"/>
          <w:szCs w:val="20"/>
        </w:rPr>
        <w:t>Требования к гарантийному сроку и (или) объему предоставления гарантий качества товара</w:t>
      </w:r>
    </w:p>
    <w:p w:rsidR="006B5DFC" w:rsidRPr="00B2359E" w:rsidRDefault="006B5DFC" w:rsidP="006B5DFC">
      <w:pPr>
        <w:spacing w:after="0" w:line="240" w:lineRule="auto"/>
        <w:ind w:firstLine="426"/>
        <w:jc w:val="both"/>
        <w:rPr>
          <w:rFonts w:ascii="Times New Roman" w:hAnsi="Times New Roman"/>
          <w:sz w:val="20"/>
          <w:szCs w:val="20"/>
        </w:rPr>
      </w:pPr>
      <w:r w:rsidRPr="00B2359E">
        <w:rPr>
          <w:rFonts w:ascii="Times New Roman" w:hAnsi="Times New Roman"/>
          <w:sz w:val="20"/>
          <w:szCs w:val="20"/>
        </w:rPr>
        <w:t>Гарантия на поставляемое оборудование: 36 (тридцать шесть) месяцев с обслуживанием на месте эксплуатации, с момента размещения в ЕИС подписанного Покупателем УПД.</w:t>
      </w:r>
    </w:p>
    <w:p w:rsidR="006B5DFC" w:rsidRPr="00B2359E" w:rsidRDefault="006B5DFC" w:rsidP="006B5DFC">
      <w:pPr>
        <w:spacing w:after="0" w:line="240" w:lineRule="auto"/>
        <w:ind w:firstLine="426"/>
        <w:jc w:val="both"/>
        <w:rPr>
          <w:rFonts w:ascii="Times New Roman" w:hAnsi="Times New Roman"/>
          <w:sz w:val="20"/>
          <w:szCs w:val="20"/>
        </w:rPr>
      </w:pPr>
      <w:r w:rsidRPr="00B2359E">
        <w:rPr>
          <w:rFonts w:ascii="Times New Roman" w:hAnsi="Times New Roman"/>
          <w:sz w:val="20"/>
          <w:szCs w:val="20"/>
        </w:rPr>
        <w:t>В целях обеспечения гарантийных обязательств на каждую единицу поставляемого оборудования должен быть создан электронный технический паспорт, размещённый на официальном сайте производителя в сети Интернет, с возможностью доступа к нему сотрудникам Покупателя, с указанием в нём следующей информации:</w:t>
      </w:r>
    </w:p>
    <w:p w:rsidR="006B5DFC" w:rsidRPr="00B2359E" w:rsidRDefault="006B5DFC" w:rsidP="006B5DFC">
      <w:pPr>
        <w:pStyle w:val="a7"/>
        <w:numPr>
          <w:ilvl w:val="0"/>
          <w:numId w:val="21"/>
        </w:numPr>
        <w:spacing w:after="0" w:line="240" w:lineRule="auto"/>
        <w:ind w:left="0" w:firstLine="426"/>
        <w:jc w:val="both"/>
        <w:rPr>
          <w:rFonts w:ascii="Times New Roman" w:hAnsi="Times New Roman"/>
          <w:sz w:val="20"/>
          <w:szCs w:val="20"/>
        </w:rPr>
      </w:pPr>
      <w:r w:rsidRPr="00B2359E">
        <w:rPr>
          <w:rFonts w:ascii="Times New Roman" w:hAnsi="Times New Roman"/>
          <w:sz w:val="20"/>
          <w:szCs w:val="20"/>
        </w:rPr>
        <w:t>Артикул оборудования;</w:t>
      </w:r>
    </w:p>
    <w:p w:rsidR="006B5DFC" w:rsidRPr="00B2359E" w:rsidRDefault="006B5DFC" w:rsidP="006B5DFC">
      <w:pPr>
        <w:pStyle w:val="a7"/>
        <w:numPr>
          <w:ilvl w:val="0"/>
          <w:numId w:val="21"/>
        </w:numPr>
        <w:spacing w:after="0" w:line="240" w:lineRule="auto"/>
        <w:ind w:left="0" w:firstLine="426"/>
        <w:jc w:val="both"/>
        <w:rPr>
          <w:rFonts w:ascii="Times New Roman" w:hAnsi="Times New Roman"/>
          <w:sz w:val="20"/>
          <w:szCs w:val="20"/>
        </w:rPr>
      </w:pPr>
      <w:r w:rsidRPr="00B2359E">
        <w:rPr>
          <w:rFonts w:ascii="Times New Roman" w:hAnsi="Times New Roman"/>
          <w:sz w:val="20"/>
          <w:szCs w:val="20"/>
        </w:rPr>
        <w:t>Комплектация оборудования;</w:t>
      </w:r>
    </w:p>
    <w:p w:rsidR="006B5DFC" w:rsidRPr="00B2359E" w:rsidRDefault="006B5DFC" w:rsidP="006B5DFC">
      <w:pPr>
        <w:pStyle w:val="a7"/>
        <w:numPr>
          <w:ilvl w:val="0"/>
          <w:numId w:val="21"/>
        </w:numPr>
        <w:spacing w:after="0" w:line="240" w:lineRule="auto"/>
        <w:ind w:left="0" w:firstLine="426"/>
        <w:jc w:val="both"/>
        <w:rPr>
          <w:rFonts w:ascii="Times New Roman" w:hAnsi="Times New Roman"/>
          <w:sz w:val="20"/>
          <w:szCs w:val="20"/>
        </w:rPr>
      </w:pPr>
      <w:r w:rsidRPr="00B2359E">
        <w:rPr>
          <w:rFonts w:ascii="Times New Roman" w:hAnsi="Times New Roman"/>
          <w:sz w:val="20"/>
          <w:szCs w:val="20"/>
        </w:rPr>
        <w:t>Дата производства;</w:t>
      </w:r>
    </w:p>
    <w:p w:rsidR="006B5DFC" w:rsidRPr="00B2359E" w:rsidRDefault="006B5DFC" w:rsidP="006B5DFC">
      <w:pPr>
        <w:pStyle w:val="a7"/>
        <w:numPr>
          <w:ilvl w:val="0"/>
          <w:numId w:val="21"/>
        </w:numPr>
        <w:spacing w:after="0" w:line="240" w:lineRule="auto"/>
        <w:ind w:left="0" w:firstLine="426"/>
        <w:jc w:val="both"/>
        <w:rPr>
          <w:rFonts w:ascii="Times New Roman" w:hAnsi="Times New Roman"/>
          <w:sz w:val="20"/>
          <w:szCs w:val="20"/>
        </w:rPr>
      </w:pPr>
      <w:r w:rsidRPr="00B2359E">
        <w:rPr>
          <w:rFonts w:ascii="Times New Roman" w:hAnsi="Times New Roman"/>
          <w:sz w:val="20"/>
          <w:szCs w:val="20"/>
        </w:rPr>
        <w:t>Срок гарантийного обслуживания;</w:t>
      </w:r>
    </w:p>
    <w:p w:rsidR="006B5DFC" w:rsidRPr="00B2359E" w:rsidRDefault="006B5DFC" w:rsidP="006B5DFC">
      <w:pPr>
        <w:pStyle w:val="a7"/>
        <w:numPr>
          <w:ilvl w:val="0"/>
          <w:numId w:val="21"/>
        </w:numPr>
        <w:spacing w:after="0" w:line="240" w:lineRule="auto"/>
        <w:ind w:left="0" w:firstLine="426"/>
        <w:jc w:val="both"/>
        <w:rPr>
          <w:rFonts w:ascii="Times New Roman" w:hAnsi="Times New Roman"/>
          <w:sz w:val="20"/>
          <w:szCs w:val="20"/>
        </w:rPr>
      </w:pPr>
      <w:r w:rsidRPr="00B2359E">
        <w:rPr>
          <w:rFonts w:ascii="Times New Roman" w:hAnsi="Times New Roman"/>
          <w:sz w:val="20"/>
          <w:szCs w:val="20"/>
        </w:rPr>
        <w:t>Уникальный идентификационный номер (серийный номер).</w:t>
      </w:r>
    </w:p>
    <w:p w:rsidR="006B5DFC" w:rsidRPr="00B2359E" w:rsidRDefault="006B5DFC" w:rsidP="006B5DFC">
      <w:pPr>
        <w:spacing w:after="0" w:line="240" w:lineRule="auto"/>
        <w:ind w:firstLine="426"/>
        <w:jc w:val="both"/>
        <w:rPr>
          <w:rFonts w:ascii="Times New Roman" w:hAnsi="Times New Roman"/>
          <w:sz w:val="20"/>
          <w:szCs w:val="20"/>
        </w:rPr>
      </w:pPr>
      <w:r w:rsidRPr="00B2359E">
        <w:rPr>
          <w:rFonts w:ascii="Times New Roman" w:hAnsi="Times New Roman"/>
          <w:sz w:val="20"/>
          <w:szCs w:val="20"/>
        </w:rPr>
        <w:t>Каждый электронный технический паспорт должен представлять собой персональный электронный файл единицы оборудования. На сайте производителя поставляемого оборудования Покупателю должна быть открыта возможность поиска информации по поставляемому оборудованию по уникальному идентификационному номеру электронного паспорта. Каждая единица поставляемого оборудования должна иметь этикетку с уникальным QR-кодом (штрих-кодом), содержащим в себе информацию из электронного технического паспорта. Информация в электронном техническом паспорте должна совпадать с информацией на этикетке с QR-кодом (штрих-кодом).</w:t>
      </w:r>
    </w:p>
    <w:p w:rsidR="006B5DFC" w:rsidRPr="00AA3B05" w:rsidRDefault="006B5DFC" w:rsidP="006B5DFC">
      <w:pPr>
        <w:spacing w:after="0"/>
        <w:rPr>
          <w:rFonts w:ascii="Times New Roman" w:hAnsi="Times New Roman"/>
          <w:sz w:val="24"/>
          <w:szCs w:val="24"/>
        </w:rPr>
      </w:pPr>
    </w:p>
    <w:p w:rsidR="00170252" w:rsidRDefault="00170252" w:rsidP="000820E3">
      <w:pPr>
        <w:rPr>
          <w:rFonts w:ascii="Times New Roman" w:hAnsi="Times New Roman" w:cs="Times New Roman"/>
          <w:b/>
          <w:sz w:val="28"/>
          <w:szCs w:val="28"/>
        </w:rPr>
      </w:pPr>
    </w:p>
    <w:sectPr w:rsidR="00170252" w:rsidSect="00EA3BC1">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C4" w:rsidRDefault="00687EC4">
      <w:pPr>
        <w:spacing w:after="0" w:line="240" w:lineRule="auto"/>
      </w:pPr>
      <w:r>
        <w:separator/>
      </w:r>
    </w:p>
  </w:endnote>
  <w:endnote w:type="continuationSeparator" w:id="0">
    <w:p w:rsidR="00687EC4" w:rsidRDefault="0068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7FC1" w:rsidRDefault="00127FC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7FC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27FC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7FC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7FC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5269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7FC1">
    <w:pPr>
      <w:pStyle w:val="ab"/>
      <w:jc w:val="right"/>
    </w:pPr>
    <w:sdt>
      <w:sdtPr>
        <w:id w:val="362177294"/>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5269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C4" w:rsidRDefault="00687EC4">
      <w:pPr>
        <w:spacing w:after="0" w:line="240" w:lineRule="auto"/>
      </w:pPr>
      <w:r>
        <w:separator/>
      </w:r>
    </w:p>
  </w:footnote>
  <w:footnote w:type="continuationSeparator" w:id="0">
    <w:p w:rsidR="00687EC4" w:rsidRDefault="00687EC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7FC1" w:rsidRDefault="00127FC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7FC1" w:rsidRDefault="00127FC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7FC1" w:rsidRDefault="00127FC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FFD17AC"/>
    <w:multiLevelType w:val="hybridMultilevel"/>
    <w:tmpl w:val="8C644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DC1BDE"/>
    <w:multiLevelType w:val="hybridMultilevel"/>
    <w:tmpl w:val="48F2F5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0"/>
  </w:num>
  <w:num w:numId="12">
    <w:abstractNumId w:val="11"/>
  </w:num>
  <w:num w:numId="13">
    <w:abstractNumId w:val="4"/>
  </w:num>
  <w:num w:numId="14">
    <w:abstractNumId w:val="8"/>
  </w:num>
  <w:num w:numId="15">
    <w:abstractNumId w:val="19"/>
  </w:num>
  <w:num w:numId="16">
    <w:abstractNumId w:val="14"/>
  </w:num>
  <w:num w:numId="17">
    <w:abstractNumId w:val="7"/>
  </w:num>
  <w:num w:numId="18">
    <w:abstractNumId w:val="6"/>
  </w:num>
  <w:num w:numId="19">
    <w:abstractNumId w:val="16"/>
  </w:num>
  <w:num w:numId="20">
    <w:abstractNumId w:val="9"/>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6E0D"/>
    <w:rsid w:val="00026C1F"/>
    <w:rsid w:val="00031AFA"/>
    <w:rsid w:val="00032E01"/>
    <w:rsid w:val="00041BC7"/>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7FC1"/>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072E3"/>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87EC4"/>
    <w:rsid w:val="00692F2A"/>
    <w:rsid w:val="006A0CDA"/>
    <w:rsid w:val="006B0C1A"/>
    <w:rsid w:val="006B558D"/>
    <w:rsid w:val="006B5DFC"/>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47FCF"/>
    <w:rsid w:val="00964265"/>
    <w:rsid w:val="00967A2A"/>
    <w:rsid w:val="00971FDB"/>
    <w:rsid w:val="009765E0"/>
    <w:rsid w:val="009840D8"/>
    <w:rsid w:val="00991207"/>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1B95"/>
    <w:rsid w:val="00A37A47"/>
    <w:rsid w:val="00A406BB"/>
    <w:rsid w:val="00A423B2"/>
    <w:rsid w:val="00A475D6"/>
    <w:rsid w:val="00A51E47"/>
    <w:rsid w:val="00A5338E"/>
    <w:rsid w:val="00A5368D"/>
    <w:rsid w:val="00A56B78"/>
    <w:rsid w:val="00A56D74"/>
    <w:rsid w:val="00A641E2"/>
    <w:rsid w:val="00A70444"/>
    <w:rsid w:val="00A76CEF"/>
    <w:rsid w:val="00A80352"/>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17C7"/>
    <w:rsid w:val="00B2359E"/>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3BC1"/>
    <w:rsid w:val="00EC1DA9"/>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69E"/>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Список дефисный,Bullet List,FooterText,numbered,ТЗ список,Абзац списка литеральный,Булет1,1Булет,it_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Список дефисный Знак,Bullet List Знак,FooterText Знак,numbered Знак,ТЗ список Знак,Абзац списка литеральный Знак,Булет1 Знак,1Булет Знак,it_List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AF14-9696-4C81-BA3C-DBDDBC6E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2025-05-07T11:05:00Z</dcterms:created>
  <dcterms:modified xsi:type="dcterms:W3CDTF">2025-05-07T11:05:00Z</dcterms:modified>
</cp:coreProperties>
</file>