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21.1-03/705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A3FD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44B1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44B1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44B1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526"/>
        <w:gridCol w:w="1134"/>
        <w:gridCol w:w="2415"/>
        <w:gridCol w:w="1275"/>
        <w:gridCol w:w="1134"/>
        <w:gridCol w:w="2264"/>
        <w:gridCol w:w="1137"/>
        <w:gridCol w:w="902"/>
        <w:gridCol w:w="863"/>
        <w:gridCol w:w="863"/>
        <w:gridCol w:w="1011"/>
        <w:gridCol w:w="1140"/>
      </w:tblGrid>
      <w:tr w:rsidR="00544B10" w:rsidRPr="00544B10" w:rsidTr="00BE07D6">
        <w:trPr>
          <w:trHeight w:val="402"/>
        </w:trPr>
        <w:tc>
          <w:tcPr>
            <w:tcW w:w="136" w:type="pct"/>
            <w:vMerge w:val="restar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 </w:t>
            </w:r>
          </w:p>
        </w:tc>
        <w:tc>
          <w:tcPr>
            <w:tcW w:w="474" w:type="pct"/>
            <w:vMerge w:val="restar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Код позиции</w:t>
            </w:r>
          </w:p>
        </w:tc>
        <w:tc>
          <w:tcPr>
            <w:tcW w:w="2201" w:type="pct"/>
            <w:gridSpan w:val="4"/>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Количество</w:t>
            </w:r>
          </w:p>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(объем работы, услуги)</w:t>
            </w:r>
          </w:p>
        </w:tc>
        <w:tc>
          <w:tcPr>
            <w:tcW w:w="280" w:type="pct"/>
            <w:vMerge w:val="restar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Единица измерения</w:t>
            </w:r>
          </w:p>
        </w:tc>
        <w:tc>
          <w:tcPr>
            <w:tcW w:w="268" w:type="pct"/>
            <w:vMerge w:val="restart"/>
            <w:noWrap/>
            <w:vAlign w:val="center"/>
            <w:hideMark/>
          </w:tcPr>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r w:rsidRPr="00544B10">
              <w:rPr>
                <w:rFonts w:ascii="Times New Roman" w:eastAsia="Times New Roman" w:hAnsi="Times New Roman" w:cs="Times New Roman"/>
                <w:b/>
                <w:color w:val="000000"/>
                <w:sz w:val="16"/>
                <w:szCs w:val="16"/>
                <w:lang w:eastAsia="ru-RU"/>
              </w:rPr>
              <w:t>Страна происхождения товара</w:t>
            </w:r>
          </w:p>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p>
        </w:tc>
        <w:tc>
          <w:tcPr>
            <w:tcW w:w="268" w:type="pct"/>
            <w:vMerge w:val="restart"/>
            <w:noWrap/>
            <w:vAlign w:val="center"/>
            <w:hideMark/>
          </w:tcPr>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r w:rsidRPr="00544B10">
              <w:rPr>
                <w:rFonts w:ascii="Times New Roman" w:eastAsia="Times New Roman" w:hAnsi="Times New Roman" w:cs="Times New Roman"/>
                <w:b/>
                <w:color w:val="000000"/>
                <w:sz w:val="16"/>
                <w:szCs w:val="16"/>
                <w:lang w:eastAsia="ru-RU"/>
              </w:rPr>
              <w:t>Ставка НДС%</w:t>
            </w:r>
          </w:p>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p>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p>
        </w:tc>
        <w:tc>
          <w:tcPr>
            <w:tcW w:w="314" w:type="pct"/>
            <w:vMerge w:val="restart"/>
            <w:noWrap/>
            <w:vAlign w:val="center"/>
            <w:hideMark/>
          </w:tcPr>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r w:rsidRPr="00544B10">
              <w:rPr>
                <w:rFonts w:ascii="Times New Roman" w:eastAsia="Times New Roman" w:hAnsi="Times New Roman" w:cs="Times New Roman"/>
                <w:b/>
                <w:color w:val="000000"/>
                <w:sz w:val="16"/>
                <w:szCs w:val="16"/>
                <w:lang w:eastAsia="ru-RU"/>
              </w:rPr>
              <w:t>Цена за ед. без НДС</w:t>
            </w:r>
          </w:p>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p>
        </w:tc>
        <w:tc>
          <w:tcPr>
            <w:tcW w:w="354" w:type="pct"/>
            <w:vMerge w:val="restart"/>
            <w:noWrap/>
            <w:vAlign w:val="center"/>
            <w:hideMark/>
          </w:tcPr>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r w:rsidRPr="00544B10">
              <w:rPr>
                <w:rFonts w:ascii="Times New Roman" w:eastAsia="Times New Roman" w:hAnsi="Times New Roman" w:cs="Times New Roman"/>
                <w:b/>
                <w:color w:val="000000"/>
                <w:sz w:val="16"/>
                <w:szCs w:val="16"/>
                <w:lang w:eastAsia="ru-RU"/>
              </w:rPr>
              <w:t>Сумма без НДС</w:t>
            </w:r>
          </w:p>
          <w:p w:rsidR="00544B10" w:rsidRPr="00544B10" w:rsidRDefault="00544B10" w:rsidP="00544B10">
            <w:pPr>
              <w:spacing w:after="0" w:line="240" w:lineRule="auto"/>
              <w:jc w:val="center"/>
              <w:rPr>
                <w:rFonts w:ascii="Times New Roman" w:eastAsia="Times New Roman" w:hAnsi="Times New Roman" w:cs="Times New Roman"/>
                <w:b/>
                <w:color w:val="000000"/>
                <w:sz w:val="16"/>
                <w:szCs w:val="16"/>
                <w:lang w:eastAsia="ru-RU"/>
              </w:rPr>
            </w:pPr>
          </w:p>
        </w:tc>
      </w:tr>
      <w:tr w:rsidR="00544B10" w:rsidRPr="00544B10" w:rsidTr="00BE07D6">
        <w:trPr>
          <w:trHeight w:val="402"/>
        </w:trPr>
        <w:tc>
          <w:tcPr>
            <w:tcW w:w="136" w:type="pct"/>
            <w:vMerge/>
            <w:vAlign w:val="center"/>
            <w:hideMark/>
          </w:tcPr>
          <w:p w:rsidR="00544B10" w:rsidRPr="00544B10" w:rsidRDefault="00544B10" w:rsidP="00544B10">
            <w:pPr>
              <w:spacing w:after="0" w:line="240" w:lineRule="auto"/>
              <w:rPr>
                <w:rFonts w:ascii="Times New Roman" w:eastAsia="Times New Roman" w:hAnsi="Times New Roman" w:cs="Times New Roman"/>
                <w:b/>
                <w:bCs/>
                <w:color w:val="000000"/>
                <w:sz w:val="16"/>
                <w:szCs w:val="16"/>
                <w:lang w:eastAsia="ru-RU"/>
              </w:rPr>
            </w:pPr>
          </w:p>
        </w:tc>
        <w:tc>
          <w:tcPr>
            <w:tcW w:w="474" w:type="pct"/>
            <w:vMerge/>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p>
        </w:tc>
        <w:tc>
          <w:tcPr>
            <w:tcW w:w="352" w:type="pct"/>
            <w:vMerge/>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p>
        </w:tc>
        <w:tc>
          <w:tcPr>
            <w:tcW w:w="750" w:type="pc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Наименование характеристики</w:t>
            </w:r>
          </w:p>
        </w:tc>
        <w:tc>
          <w:tcPr>
            <w:tcW w:w="396" w:type="pc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Значение характеристики</w:t>
            </w:r>
          </w:p>
        </w:tc>
        <w:tc>
          <w:tcPr>
            <w:tcW w:w="352" w:type="pc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Единица измерения характеристики</w:t>
            </w:r>
          </w:p>
        </w:tc>
        <w:tc>
          <w:tcPr>
            <w:tcW w:w="703" w:type="pct"/>
            <w:vAlign w:val="center"/>
            <w:hideMark/>
          </w:tcPr>
          <w:p w:rsidR="00544B10" w:rsidRPr="00544B10" w:rsidRDefault="00544B10" w:rsidP="00544B10">
            <w:pPr>
              <w:spacing w:after="0" w:line="240" w:lineRule="auto"/>
              <w:jc w:val="center"/>
              <w:rPr>
                <w:rFonts w:ascii="Times New Roman" w:eastAsia="Times New Roman" w:hAnsi="Times New Roman" w:cs="Times New Roman"/>
                <w:b/>
                <w:bCs/>
                <w:color w:val="000000"/>
                <w:sz w:val="16"/>
                <w:szCs w:val="16"/>
                <w:lang w:eastAsia="ru-RU"/>
              </w:rPr>
            </w:pPr>
            <w:r w:rsidRPr="00544B10">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vAlign w:val="center"/>
            <w:hideMark/>
          </w:tcPr>
          <w:p w:rsidR="00544B10" w:rsidRPr="00544B10" w:rsidRDefault="00544B10" w:rsidP="00544B10">
            <w:pPr>
              <w:spacing w:after="0" w:line="240" w:lineRule="auto"/>
              <w:rPr>
                <w:rFonts w:ascii="Times New Roman" w:eastAsia="Times New Roman" w:hAnsi="Times New Roman" w:cs="Times New Roman"/>
                <w:b/>
                <w:bCs/>
                <w:color w:val="000000"/>
                <w:sz w:val="16"/>
                <w:szCs w:val="16"/>
                <w:lang w:eastAsia="ru-RU"/>
              </w:rPr>
            </w:pPr>
          </w:p>
        </w:tc>
        <w:tc>
          <w:tcPr>
            <w:tcW w:w="280" w:type="pct"/>
            <w:vMerge/>
            <w:vAlign w:val="center"/>
            <w:hideMark/>
          </w:tcPr>
          <w:p w:rsidR="00544B10" w:rsidRPr="00544B10" w:rsidRDefault="00544B10" w:rsidP="00544B10">
            <w:pPr>
              <w:spacing w:after="0" w:line="240" w:lineRule="auto"/>
              <w:rPr>
                <w:rFonts w:ascii="Times New Roman" w:eastAsia="Times New Roman" w:hAnsi="Times New Roman" w:cs="Times New Roman"/>
                <w:b/>
                <w:bCs/>
                <w:color w:val="000000"/>
                <w:sz w:val="16"/>
                <w:szCs w:val="16"/>
                <w:lang w:eastAsia="ru-RU"/>
              </w:rPr>
            </w:pPr>
          </w:p>
        </w:tc>
        <w:tc>
          <w:tcPr>
            <w:tcW w:w="268" w:type="pct"/>
            <w:vMerge/>
            <w:vAlign w:val="center"/>
            <w:hideMark/>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hideMark/>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14" w:type="pct"/>
            <w:vMerge/>
            <w:vAlign w:val="center"/>
            <w:hideMark/>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54" w:type="pct"/>
            <w:vMerge/>
            <w:vAlign w:val="center"/>
            <w:hideMark/>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1</w:t>
            </w:r>
          </w:p>
        </w:tc>
        <w:tc>
          <w:tcPr>
            <w:tcW w:w="474" w:type="pct"/>
            <w:vMerge w:val="restart"/>
            <w:vAlign w:val="center"/>
          </w:tcPr>
          <w:p w:rsidR="00544B10" w:rsidRPr="00544B10" w:rsidRDefault="00544B10" w:rsidP="00544B10">
            <w:pPr>
              <w:spacing w:after="0" w:line="240" w:lineRule="auto"/>
              <w:jc w:val="center"/>
              <w:rPr>
                <w:rFonts w:ascii="Times New Roman" w:hAnsi="Times New Roman"/>
                <w:sz w:val="16"/>
                <w:szCs w:val="16"/>
                <w:highlight w:val="yellow"/>
              </w:rPr>
            </w:pPr>
            <w:r>
              <w:rPr>
                <w:rFonts w:ascii="Times New Roman" w:hAnsi="Times New Roman"/>
                <w:sz w:val="16"/>
                <w:szCs w:val="16"/>
              </w:rPr>
              <w:t>И</w:t>
            </w:r>
            <w:r w:rsidRPr="00544B10">
              <w:rPr>
                <w:rFonts w:ascii="Times New Roman" w:hAnsi="Times New Roman"/>
                <w:sz w:val="16"/>
                <w:szCs w:val="16"/>
              </w:rPr>
              <w:t>мплантат для артродеза</w:t>
            </w:r>
          </w:p>
        </w:tc>
        <w:tc>
          <w:tcPr>
            <w:tcW w:w="352" w:type="pct"/>
            <w:vMerge w:val="restart"/>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32.50.22.110</w:t>
            </w: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Артродезная часть для компенсации длины замещаемой кости (замещения резекции кости) обеспечивает возможность увеличения длины компонента до требуемого уровня.</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1</w:t>
            </w:r>
          </w:p>
        </w:tc>
        <w:tc>
          <w:tcPr>
            <w:tcW w:w="280"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штука</w:t>
            </w:r>
          </w:p>
        </w:tc>
        <w:tc>
          <w:tcPr>
            <w:tcW w:w="268"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jc w:val="center"/>
              <w:rPr>
                <w:rFonts w:ascii="Times New Roman" w:hAnsi="Times New Roman"/>
                <w:sz w:val="16"/>
                <w:szCs w:val="16"/>
                <w:highlight w:val="yellow"/>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Материал изготовления</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титановый сплав</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jc w:val="center"/>
              <w:rPr>
                <w:rFonts w:ascii="Times New Roman" w:hAnsi="Times New Roman"/>
                <w:sz w:val="16"/>
                <w:szCs w:val="16"/>
                <w:highlight w:val="yellow"/>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Артродезная часть состоит  из двух частей, скрепляющихся паз в паз по типу «русского замка» и дополнительно фиксируется двумя винтами между собой в поперечном направлении</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jc w:val="center"/>
              <w:rPr>
                <w:rFonts w:ascii="Times New Roman" w:hAnsi="Times New Roman"/>
                <w:sz w:val="16"/>
                <w:szCs w:val="16"/>
                <w:highlight w:val="yellow"/>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Артродезная часть прикрепляется к проксимальным и дистальным частям в случае, если не требуется тотальное замещение кости - к ножке для интрамедуллярного канала при помощи винтов диаметром 10,0 мм</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jc w:val="center"/>
              <w:rPr>
                <w:rFonts w:ascii="Times New Roman" w:hAnsi="Times New Roman"/>
                <w:sz w:val="16"/>
                <w:szCs w:val="16"/>
                <w:highlight w:val="yellow"/>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При закреплении модулей возможность возникновения самостоятельной ротации исключена при помощи зубчатого соединения.</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jc w:val="center"/>
              <w:rPr>
                <w:rFonts w:ascii="Times New Roman" w:hAnsi="Times New Roman"/>
                <w:sz w:val="16"/>
                <w:szCs w:val="16"/>
                <w:highlight w:val="yellow"/>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tcPr>
          <w:p w:rsidR="00544B10" w:rsidRPr="00544B10" w:rsidRDefault="00544B10" w:rsidP="00544B10">
            <w:pPr>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Длина</w:t>
            </w:r>
          </w:p>
        </w:tc>
        <w:tc>
          <w:tcPr>
            <w:tcW w:w="396" w:type="pct"/>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 120,0</w:t>
            </w:r>
          </w:p>
        </w:tc>
        <w:tc>
          <w:tcPr>
            <w:tcW w:w="352" w:type="pct"/>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nos" w:hAnsi="Tinos"/>
                <w:sz w:val="16"/>
                <w:szCs w:val="16"/>
              </w:rPr>
              <w:t>Миллиметр</w:t>
            </w: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jc w:val="center"/>
              <w:rPr>
                <w:rFonts w:ascii="Times New Roman" w:hAnsi="Times New Roman"/>
                <w:sz w:val="16"/>
                <w:szCs w:val="16"/>
                <w:highlight w:val="yellow"/>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tcPr>
          <w:p w:rsidR="00544B10" w:rsidRPr="00544B10" w:rsidRDefault="00544B10" w:rsidP="00544B10">
            <w:pPr>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Диаметр</w:t>
            </w:r>
          </w:p>
        </w:tc>
        <w:tc>
          <w:tcPr>
            <w:tcW w:w="396" w:type="pct"/>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 28,0</w:t>
            </w:r>
          </w:p>
        </w:tc>
        <w:tc>
          <w:tcPr>
            <w:tcW w:w="352" w:type="pct"/>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nos" w:hAnsi="Tinos"/>
                <w:sz w:val="16"/>
                <w:szCs w:val="16"/>
              </w:rPr>
              <w:t>Миллиметр</w:t>
            </w: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2</w:t>
            </w:r>
          </w:p>
        </w:tc>
        <w:tc>
          <w:tcPr>
            <w:tcW w:w="47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w:t>
            </w:r>
            <w:r w:rsidRPr="00544B10">
              <w:rPr>
                <w:rFonts w:ascii="Times New Roman" w:eastAsia="Times New Roman" w:hAnsi="Times New Roman" w:cs="Times New Roman"/>
                <w:color w:val="000000"/>
                <w:sz w:val="16"/>
                <w:szCs w:val="16"/>
                <w:lang w:eastAsia="ru-RU"/>
              </w:rPr>
              <w:t>инт</w:t>
            </w:r>
          </w:p>
        </w:tc>
        <w:tc>
          <w:tcPr>
            <w:tcW w:w="352" w:type="pct"/>
            <w:vMerge w:val="restart"/>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32.50.22.110</w:t>
            </w: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Соединительный винт. Материал изготовления – титановый сплав.</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13</w:t>
            </w:r>
          </w:p>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штука</w:t>
            </w:r>
          </w:p>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Длина винтов в диапазоне 25,0 мм – 245,0 мм с шагом изменения длины 20,0 мм</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 xml:space="preserve">Диаметр винта </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10,0</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Миллиметр</w:t>
            </w: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Соединительный винт. Материал изготовления – титановый сплав.</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625"/>
        </w:trPr>
        <w:tc>
          <w:tcPr>
            <w:tcW w:w="136"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3</w:t>
            </w:r>
          </w:p>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restart"/>
            <w:vAlign w:val="center"/>
          </w:tcPr>
          <w:p w:rsidR="00544B10" w:rsidRPr="00544B10" w:rsidRDefault="00544B10" w:rsidP="00544B10">
            <w:pPr>
              <w:jc w:val="center"/>
              <w:rPr>
                <w:rFonts w:ascii="Times New Roman" w:hAnsi="Times New Roman"/>
                <w:sz w:val="16"/>
                <w:szCs w:val="16"/>
              </w:rPr>
            </w:pPr>
            <w:r w:rsidRPr="00544B10">
              <w:rPr>
                <w:rFonts w:ascii="Times New Roman" w:hAnsi="Times New Roman"/>
                <w:sz w:val="16"/>
                <w:szCs w:val="16"/>
              </w:rPr>
              <w:t>Головка бедра</w:t>
            </w:r>
          </w:p>
        </w:tc>
        <w:tc>
          <w:tcPr>
            <w:tcW w:w="352" w:type="pct"/>
            <w:vMerge w:val="restart"/>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32.50.22.110</w:t>
            </w: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Головка изготовлена из кобальт-хром (Co-Cr-Mo) сплава.</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3</w:t>
            </w:r>
          </w:p>
        </w:tc>
        <w:tc>
          <w:tcPr>
            <w:tcW w:w="280"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штука</w:t>
            </w:r>
          </w:p>
        </w:tc>
        <w:tc>
          <w:tcPr>
            <w:tcW w:w="268"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jc w:val="center"/>
              <w:rPr>
                <w:rFonts w:ascii="Times New Roman" w:hAnsi="Times New Roman"/>
                <w:sz w:val="16"/>
                <w:szCs w:val="16"/>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olor w:val="000000"/>
                <w:sz w:val="16"/>
                <w:szCs w:val="16"/>
                <w:lang w:eastAsia="ru-RU"/>
              </w:rPr>
              <w:t>Типоразмеры по диаметру: 28 мм и 32 мм и 4 типоразмера  по длине шейки в диапазоне от  -4 мм до +10,5 мм</w:t>
            </w:r>
          </w:p>
        </w:tc>
        <w:tc>
          <w:tcPr>
            <w:tcW w:w="396"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jc w:val="center"/>
              <w:rPr>
                <w:rFonts w:ascii="Times New Roman" w:hAnsi="Times New Roman"/>
                <w:sz w:val="16"/>
                <w:szCs w:val="16"/>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widowControl w:val="0"/>
              <w:snapToGrid w:val="0"/>
              <w:spacing w:after="0" w:line="240" w:lineRule="auto"/>
              <w:jc w:val="center"/>
              <w:rPr>
                <w:rFonts w:ascii="Times New Roman" w:eastAsia="Times New Roman" w:hAnsi="Times New Roman"/>
                <w:sz w:val="16"/>
                <w:szCs w:val="16"/>
                <w:lang w:eastAsia="ru-RU"/>
              </w:rPr>
            </w:pPr>
            <w:r w:rsidRPr="00544B10">
              <w:rPr>
                <w:rFonts w:ascii="Times New Roman" w:eastAsia="Times New Roman" w:hAnsi="Times New Roman"/>
                <w:color w:val="000000"/>
                <w:sz w:val="16"/>
                <w:szCs w:val="16"/>
                <w:lang w:eastAsia="ru-RU"/>
              </w:rPr>
              <w:t>Конус</w:t>
            </w:r>
          </w:p>
        </w:tc>
        <w:tc>
          <w:tcPr>
            <w:tcW w:w="396" w:type="pct"/>
            <w:vAlign w:val="center"/>
          </w:tcPr>
          <w:p w:rsidR="00544B10" w:rsidRPr="00544B10" w:rsidRDefault="00544B10" w:rsidP="00544B10">
            <w:pPr>
              <w:widowControl w:val="0"/>
              <w:suppressAutoHyphens/>
              <w:snapToGrid w:val="0"/>
              <w:spacing w:after="0" w:line="240" w:lineRule="auto"/>
              <w:jc w:val="center"/>
              <w:rPr>
                <w:rFonts w:ascii="Tinos" w:hAnsi="Tinos" w:cs="Times New Roman"/>
                <w:sz w:val="16"/>
                <w:szCs w:val="16"/>
              </w:rPr>
            </w:pPr>
            <w:r w:rsidRPr="00544B10">
              <w:rPr>
                <w:rFonts w:ascii="Times New Roman" w:eastAsia="Times New Roman" w:hAnsi="Times New Roman" w:cs="Times New Roman"/>
                <w:color w:val="000000"/>
                <w:sz w:val="16"/>
                <w:szCs w:val="16"/>
                <w:lang w:eastAsia="ru-RU"/>
              </w:rPr>
              <w:t>12/14</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4</w:t>
            </w:r>
          </w:p>
        </w:tc>
        <w:tc>
          <w:tcPr>
            <w:tcW w:w="474" w:type="pct"/>
            <w:vMerge w:val="restart"/>
            <w:vAlign w:val="center"/>
          </w:tcPr>
          <w:p w:rsidR="00544B10" w:rsidRPr="00544B10" w:rsidRDefault="00544B10" w:rsidP="00544B10">
            <w:pPr>
              <w:jc w:val="center"/>
              <w:rPr>
                <w:rFonts w:ascii="Times New Roman" w:hAnsi="Times New Roman"/>
                <w:sz w:val="16"/>
                <w:szCs w:val="16"/>
              </w:rPr>
            </w:pPr>
            <w:r>
              <w:rPr>
                <w:rFonts w:ascii="Times New Roman" w:hAnsi="Times New Roman"/>
                <w:sz w:val="16"/>
                <w:szCs w:val="16"/>
              </w:rPr>
              <w:t>О</w:t>
            </w:r>
            <w:r w:rsidRPr="00544B10">
              <w:rPr>
                <w:rFonts w:ascii="Times New Roman" w:hAnsi="Times New Roman"/>
                <w:sz w:val="16"/>
                <w:szCs w:val="16"/>
              </w:rPr>
              <w:t>фсетный адаптер</w:t>
            </w:r>
          </w:p>
        </w:tc>
        <w:tc>
          <w:tcPr>
            <w:tcW w:w="352" w:type="pct"/>
            <w:vMerge w:val="restart"/>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32.50.22.110</w:t>
            </w:r>
          </w:p>
        </w:tc>
        <w:tc>
          <w:tcPr>
            <w:tcW w:w="750" w:type="pct"/>
            <w:vAlign w:val="center"/>
          </w:tcPr>
          <w:p w:rsidR="00544B10" w:rsidRPr="00544B10" w:rsidRDefault="00544B10" w:rsidP="00544B10">
            <w:pPr>
              <w:widowControl w:val="0"/>
              <w:snapToGrid w:val="0"/>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Является соединительной частью между платформой большеберцовой кости и ножкой, фиксация осуществляется при помощи заклинивания.</w:t>
            </w:r>
          </w:p>
        </w:tc>
        <w:tc>
          <w:tcPr>
            <w:tcW w:w="396" w:type="pct"/>
            <w:vAlign w:val="center"/>
          </w:tcPr>
          <w:p w:rsidR="00544B10" w:rsidRPr="00544B10" w:rsidRDefault="00544B10" w:rsidP="00544B10">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7</w:t>
            </w:r>
          </w:p>
        </w:tc>
        <w:tc>
          <w:tcPr>
            <w:tcW w:w="280"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штука</w:t>
            </w:r>
          </w:p>
        </w:tc>
        <w:tc>
          <w:tcPr>
            <w:tcW w:w="268"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val="restar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jc w:val="center"/>
              <w:rPr>
                <w:rFonts w:ascii="Times New Roman" w:hAnsi="Times New Roman"/>
                <w:sz w:val="16"/>
                <w:szCs w:val="16"/>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widowControl w:val="0"/>
              <w:snapToGrid w:val="0"/>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Материал изготовления</w:t>
            </w:r>
          </w:p>
        </w:tc>
        <w:tc>
          <w:tcPr>
            <w:tcW w:w="396" w:type="pct"/>
            <w:vAlign w:val="center"/>
          </w:tcPr>
          <w:p w:rsidR="00544B10" w:rsidRPr="00544B10" w:rsidRDefault="00544B10" w:rsidP="00544B10">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титановый сплав</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r>
      <w:tr w:rsidR="00544B10" w:rsidRPr="00544B10" w:rsidTr="00BE07D6">
        <w:trPr>
          <w:trHeight w:val="402"/>
        </w:trPr>
        <w:tc>
          <w:tcPr>
            <w:tcW w:w="136"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ign w:val="center"/>
          </w:tcPr>
          <w:p w:rsidR="00544B10" w:rsidRPr="00544B10" w:rsidRDefault="00544B10" w:rsidP="00544B10">
            <w:pPr>
              <w:jc w:val="center"/>
              <w:rPr>
                <w:rFonts w:ascii="Times New Roman" w:hAnsi="Times New Roman"/>
                <w:sz w:val="16"/>
                <w:szCs w:val="16"/>
              </w:rPr>
            </w:pPr>
          </w:p>
        </w:tc>
        <w:tc>
          <w:tcPr>
            <w:tcW w:w="352"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544B10" w:rsidRPr="00544B10" w:rsidRDefault="00544B10" w:rsidP="00544B10">
            <w:pPr>
              <w:widowControl w:val="0"/>
              <w:snapToGrid w:val="0"/>
              <w:spacing w:after="0" w:line="240" w:lineRule="auto"/>
              <w:jc w:val="center"/>
              <w:rPr>
                <w:rFonts w:ascii="Times New Roman" w:eastAsia="Times New Roman" w:hAnsi="Times New Roman"/>
                <w:color w:val="000000"/>
                <w:sz w:val="16"/>
                <w:szCs w:val="16"/>
                <w:lang w:eastAsia="ru-RU"/>
              </w:rPr>
            </w:pPr>
            <w:r w:rsidRPr="00544B10">
              <w:rPr>
                <w:rFonts w:ascii="Times New Roman" w:eastAsia="Times New Roman" w:hAnsi="Times New Roman"/>
                <w:color w:val="000000"/>
                <w:sz w:val="16"/>
                <w:szCs w:val="16"/>
                <w:lang w:eastAsia="ru-RU"/>
              </w:rPr>
              <w:t>Позволяет установить ножку офсетно относительно платформы. Возможный офсет: 0 мм, +2 мм, +4 мм, +6 мм.</w:t>
            </w:r>
          </w:p>
        </w:tc>
        <w:tc>
          <w:tcPr>
            <w:tcW w:w="396" w:type="pct"/>
            <w:vAlign w:val="center"/>
          </w:tcPr>
          <w:p w:rsidR="00544B10" w:rsidRPr="00544B10" w:rsidRDefault="00544B10" w:rsidP="00544B10">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соответствие</w:t>
            </w:r>
          </w:p>
        </w:tc>
        <w:tc>
          <w:tcPr>
            <w:tcW w:w="352"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r w:rsidRPr="00544B10">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80" w:type="pct"/>
            <w:vMerge/>
            <w:vAlign w:val="center"/>
          </w:tcPr>
          <w:p w:rsidR="00544B10" w:rsidRPr="00544B10" w:rsidRDefault="00544B10" w:rsidP="00544B1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1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c>
          <w:tcPr>
            <w:tcW w:w="354" w:type="pct"/>
            <w:vMerge/>
            <w:vAlign w:val="center"/>
          </w:tcPr>
          <w:p w:rsidR="00544B10" w:rsidRPr="00544B10" w:rsidRDefault="00544B10" w:rsidP="00544B10">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544B10">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1B9" w:rsidRDefault="007931B9">
      <w:pPr>
        <w:spacing w:after="0" w:line="240" w:lineRule="auto"/>
      </w:pPr>
      <w:r>
        <w:separator/>
      </w:r>
    </w:p>
  </w:endnote>
  <w:endnote w:type="continuationSeparator" w:id="0">
    <w:p w:rsidR="007931B9" w:rsidRDefault="0079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nos">
    <w:altName w:val="Times New Roman"/>
    <w:charset w:val="01"/>
    <w:family w:val="auto"/>
    <w:pitch w:val="variable"/>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A3FDD" w:rsidRDefault="003A3FD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A3FD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A3FD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A3FD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A3FD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A3FD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44B1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1B9" w:rsidRDefault="007931B9">
      <w:pPr>
        <w:spacing w:after="0" w:line="240" w:lineRule="auto"/>
      </w:pPr>
      <w:r>
        <w:separator/>
      </w:r>
    </w:p>
  </w:footnote>
  <w:footnote w:type="continuationSeparator" w:id="0">
    <w:p w:rsidR="007931B9" w:rsidRDefault="007931B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A3FDD" w:rsidRDefault="003A3FD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A3FDD" w:rsidRDefault="003A3FD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A3FDD" w:rsidRDefault="003A3FD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A3FDD"/>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44B10"/>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31B9"/>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41AA-4193-4165-99AB-D9E9A08C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2026-04-02T14:18:00Z</dcterms:created>
  <dcterms:modified xsi:type="dcterms:W3CDTF">2026-04-02T14:18:00Z</dcterms:modified>
</cp:coreProperties>
</file>