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384C05" wp14:editId="7AC934E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05-07/1093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30.10.2020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3F2C2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01"/>
        <w:gridCol w:w="915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отделения лабораторной диагностики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Санкт-Петербург, пос.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11.12.2020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15 (пятнадцати) календарных дней после поступления письменной заявки от Покупателя. Последняя дата подачи заявки на поставку 26.11.2020. Максимальное количество партий - 3 (три).</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15 (пятнадцати)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bookmarkEnd w:id="0"/>
    </w:tbl>
    <w:p w:rsidR="005646F4" w:rsidRDefault="005646F4" w:rsidP="00E52880">
      <w:pPr>
        <w:pStyle w:val="a7"/>
        <w:widowControl w:val="0"/>
        <w:spacing w:after="0"/>
        <w:ind w:left="644"/>
        <w:jc w:val="center"/>
        <w:rPr>
          <w:rFonts w:ascii="Times New Roman" w:hAnsi="Times New Roman"/>
          <w:b/>
          <w:sz w:val="24"/>
          <w:szCs w:val="26"/>
        </w:rPr>
      </w:pPr>
    </w:p>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071"/>
        <w:gridCol w:w="5300"/>
        <w:gridCol w:w="795"/>
        <w:gridCol w:w="906"/>
        <w:gridCol w:w="1586"/>
        <w:gridCol w:w="1777"/>
        <w:gridCol w:w="773"/>
        <w:gridCol w:w="1031"/>
        <w:gridCol w:w="1031"/>
      </w:tblGrid>
      <w:tr w:rsidR="005646F4" w:rsidRPr="00146AC2" w:rsidTr="00D77735">
        <w:trPr>
          <w:trHeight w:val="20"/>
          <w:jc w:val="center"/>
        </w:trPr>
        <w:tc>
          <w:tcPr>
            <w:tcW w:w="673" w:type="dxa"/>
            <w:vAlign w:val="center"/>
            <w:hideMark/>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 п/п</w:t>
            </w:r>
          </w:p>
        </w:tc>
        <w:tc>
          <w:tcPr>
            <w:tcW w:w="2071" w:type="dxa"/>
            <w:vAlign w:val="center"/>
            <w:hideMark/>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 xml:space="preserve">Наименование товара </w:t>
            </w:r>
          </w:p>
        </w:tc>
        <w:tc>
          <w:tcPr>
            <w:tcW w:w="5300" w:type="dxa"/>
            <w:vAlign w:val="center"/>
            <w:hideMark/>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Требования к качеству, техническим и функциональным характеристикам товара</w:t>
            </w:r>
          </w:p>
        </w:tc>
        <w:tc>
          <w:tcPr>
            <w:tcW w:w="795" w:type="dxa"/>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Кол-во</w:t>
            </w:r>
          </w:p>
        </w:tc>
        <w:tc>
          <w:tcPr>
            <w:tcW w:w="906" w:type="dxa"/>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Ед. изм.</w:t>
            </w:r>
          </w:p>
        </w:tc>
        <w:tc>
          <w:tcPr>
            <w:tcW w:w="1586" w:type="dxa"/>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ОКПД2</w:t>
            </w:r>
          </w:p>
        </w:tc>
        <w:tc>
          <w:tcPr>
            <w:tcW w:w="1777"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Страна происхождения</w:t>
            </w:r>
          </w:p>
        </w:tc>
        <w:tc>
          <w:tcPr>
            <w:tcW w:w="773"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НДС%</w:t>
            </w: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Цена за ед. с НДС</w:t>
            </w: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b/>
                <w:lang w:eastAsia="ru-RU"/>
              </w:rPr>
            </w:pPr>
            <w:r w:rsidRPr="00146AC2">
              <w:rPr>
                <w:rFonts w:ascii="Times New Roman" w:hAnsi="Times New Roman" w:cs="Times New Roman"/>
                <w:b/>
                <w:lang w:eastAsia="ru-RU"/>
              </w:rPr>
              <w:t>Сумма</w:t>
            </w:r>
          </w:p>
        </w:tc>
      </w:tr>
      <w:tr w:rsidR="005646F4" w:rsidRPr="00146AC2" w:rsidTr="00D77735">
        <w:trPr>
          <w:trHeight w:val="3827"/>
          <w:jc w:val="center"/>
        </w:trPr>
        <w:tc>
          <w:tcPr>
            <w:tcW w:w="673" w:type="dxa"/>
          </w:tcPr>
          <w:p w:rsidR="005646F4" w:rsidRPr="00146AC2" w:rsidRDefault="005646F4" w:rsidP="00D77735">
            <w:pPr>
              <w:pStyle w:val="a7"/>
              <w:numPr>
                <w:ilvl w:val="0"/>
                <w:numId w:val="20"/>
              </w:numPr>
              <w:spacing w:after="0" w:line="240" w:lineRule="auto"/>
              <w:ind w:left="139" w:hanging="283"/>
              <w:jc w:val="center"/>
              <w:rPr>
                <w:rFonts w:ascii="Times New Roman" w:hAnsi="Times New Roman" w:cs="Times New Roman"/>
                <w:sz w:val="24"/>
                <w:lang w:eastAsia="ru-RU"/>
              </w:rPr>
            </w:pPr>
          </w:p>
        </w:tc>
        <w:tc>
          <w:tcPr>
            <w:tcW w:w="2071"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РеалБест РНК SARS-CoV-2 5580</w:t>
            </w:r>
          </w:p>
        </w:tc>
        <w:tc>
          <w:tcPr>
            <w:tcW w:w="5300" w:type="dxa"/>
          </w:tcPr>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Набор реагентов для выявления РНК</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коронавируса SARS-CoV-2 методом ОТ-ПЦР в режиме реального времени.</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Количество исследуемых образцов не менее 96, включая контрольные.</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Готовая реакционная смесь (лиофильно высушенная) 96-луночный планшет .</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Добавление в готовую сухую ОТ-ПЦР - смесь не менее 50 мкл выделенного нуклеотидного материала.</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Единый протокол амплификации для всех наборов для ПЦР диагностики.</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 xml:space="preserve">Условия хранения: все компоненты набора должны храниться при температуре +2 - +8°С, без заморозки. </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 xml:space="preserve">Срок </w:t>
            </w:r>
            <w:r>
              <w:rPr>
                <w:rFonts w:ascii="Times New Roman" w:hAnsi="Times New Roman" w:cs="Times New Roman"/>
              </w:rPr>
              <w:t>годности</w:t>
            </w:r>
            <w:r w:rsidRPr="00146AC2">
              <w:rPr>
                <w:rFonts w:ascii="Times New Roman" w:hAnsi="Times New Roman" w:cs="Times New Roman"/>
              </w:rPr>
              <w:t>: не менее 12 месяцев.</w:t>
            </w:r>
          </w:p>
          <w:p w:rsidR="005646F4" w:rsidRPr="00146AC2" w:rsidRDefault="005646F4" w:rsidP="00FC1702">
            <w:pPr>
              <w:spacing w:after="0" w:line="240" w:lineRule="auto"/>
              <w:jc w:val="both"/>
              <w:rPr>
                <w:rFonts w:ascii="Times New Roman" w:hAnsi="Times New Roman" w:cs="Times New Roman"/>
              </w:rPr>
            </w:pPr>
            <w:r w:rsidRPr="00146AC2">
              <w:rPr>
                <w:rFonts w:ascii="Times New Roman" w:hAnsi="Times New Roman" w:cs="Times New Roman"/>
              </w:rPr>
              <w:t>Возможность транспортирования при температуре до +25ºС не менее 10 суток.</w:t>
            </w:r>
          </w:p>
        </w:tc>
        <w:tc>
          <w:tcPr>
            <w:tcW w:w="795"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t>25</w:t>
            </w:r>
          </w:p>
        </w:tc>
        <w:tc>
          <w:tcPr>
            <w:tcW w:w="906"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набор</w:t>
            </w:r>
          </w:p>
        </w:tc>
        <w:tc>
          <w:tcPr>
            <w:tcW w:w="1586"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21.20.23.110</w:t>
            </w:r>
          </w:p>
        </w:tc>
        <w:tc>
          <w:tcPr>
            <w:tcW w:w="1777"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773"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r>
      <w:tr w:rsidR="005646F4" w:rsidRPr="00146AC2" w:rsidTr="00D77735">
        <w:trPr>
          <w:trHeight w:val="449"/>
          <w:jc w:val="center"/>
        </w:trPr>
        <w:tc>
          <w:tcPr>
            <w:tcW w:w="673" w:type="dxa"/>
          </w:tcPr>
          <w:p w:rsidR="005646F4" w:rsidRPr="00146AC2" w:rsidRDefault="005646F4" w:rsidP="00D77735">
            <w:pPr>
              <w:pStyle w:val="a7"/>
              <w:numPr>
                <w:ilvl w:val="0"/>
                <w:numId w:val="20"/>
              </w:numPr>
              <w:spacing w:after="0" w:line="240" w:lineRule="auto"/>
              <w:ind w:left="139" w:hanging="283"/>
              <w:jc w:val="center"/>
              <w:rPr>
                <w:rFonts w:ascii="Times New Roman" w:hAnsi="Times New Roman" w:cs="Times New Roman"/>
                <w:sz w:val="24"/>
                <w:lang w:eastAsia="ru-RU"/>
              </w:rPr>
            </w:pPr>
          </w:p>
        </w:tc>
        <w:tc>
          <w:tcPr>
            <w:tcW w:w="2071" w:type="dxa"/>
            <w:vAlign w:val="center"/>
          </w:tcPr>
          <w:p w:rsidR="005646F4" w:rsidRPr="005646F4"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РеалБест</w:t>
            </w:r>
            <w:r w:rsidRPr="005646F4">
              <w:rPr>
                <w:rFonts w:ascii="Times New Roman" w:hAnsi="Times New Roman" w:cs="Times New Roman"/>
                <w:sz w:val="24"/>
                <w:lang w:eastAsia="ru-RU"/>
              </w:rPr>
              <w:t xml:space="preserve"> Сорбитус (вариант 4х24) 8847 </w:t>
            </w:r>
          </w:p>
        </w:tc>
        <w:tc>
          <w:tcPr>
            <w:tcW w:w="5300" w:type="dxa"/>
          </w:tcPr>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 xml:space="preserve">Набор реактивов и других связанных с ними материалов, предназначенный для выделения и/или изоляции нуклеиновых кислот из клинического образца и/или биологических культур при подготовке к анализу, основанному на определении нуклеиновых </w:t>
            </w:r>
            <w:r w:rsidRPr="00FC1702">
              <w:rPr>
                <w:rFonts w:ascii="Times New Roman" w:hAnsi="Times New Roman" w:cs="Times New Roman"/>
              </w:rPr>
              <w:lastRenderedPageBreak/>
              <w:t>кислот. Некоторые типы могут включать контроли для последующего анализа нуклеиновых кислот.</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Количество выполняемых тестов: ≥ 96 штук</w:t>
            </w:r>
            <w:r w:rsidRPr="00FC1702">
              <w:rPr>
                <w:rFonts w:ascii="Times New Roman" w:hAnsi="Times New Roman" w:cs="Times New Roman"/>
              </w:rPr>
              <w:br/>
              <w:t>Метод выделения: С использованием сорбента/суспензии магнитных частиц</w:t>
            </w:r>
            <w:r w:rsidRPr="00FC1702">
              <w:rPr>
                <w:rFonts w:ascii="Times New Roman" w:hAnsi="Times New Roman" w:cs="Times New Roman"/>
              </w:rPr>
              <w:br/>
              <w:t>Назначение: Для автоматических</w:t>
            </w:r>
            <w:r>
              <w:rPr>
                <w:rFonts w:ascii="Times New Roman" w:hAnsi="Times New Roman" w:cs="Times New Roman"/>
              </w:rPr>
              <w:t xml:space="preserve"> приборов серии KingFisher Flex.</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Биоматериал: мазки из носа, носоглотки, ротоглотки, мокрота, бронхоальвеолярный лаваж.</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Объём исследуемого образца: не более 100 мкл</w:t>
            </w:r>
            <w:r w:rsidRPr="00FC1702">
              <w:rPr>
                <w:rFonts w:ascii="Times New Roman" w:hAnsi="Times New Roman" w:cs="Times New Roman"/>
              </w:rPr>
              <w:br/>
              <w:t>Возможность проведения 4-х независимых процедур выделения по 24 точки в каждой (включая контроли).</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Лиофилизированный ВКО.</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 xml:space="preserve">Условия хранения: все компоненты набора хранятся при температуре +2 - +8°С, без заморозки. </w:t>
            </w:r>
          </w:p>
          <w:p w:rsidR="00FC1702" w:rsidRPr="00FC170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 xml:space="preserve">Срок </w:t>
            </w:r>
            <w:r w:rsidR="00A1220F">
              <w:rPr>
                <w:rFonts w:ascii="Times New Roman" w:hAnsi="Times New Roman" w:cs="Times New Roman"/>
              </w:rPr>
              <w:t>годности</w:t>
            </w:r>
            <w:r w:rsidRPr="00FC1702">
              <w:rPr>
                <w:rFonts w:ascii="Times New Roman" w:hAnsi="Times New Roman" w:cs="Times New Roman"/>
              </w:rPr>
              <w:t xml:space="preserve">: </w:t>
            </w:r>
            <w:r w:rsidR="00A1220F">
              <w:rPr>
                <w:rFonts w:ascii="Times New Roman" w:hAnsi="Times New Roman" w:cs="Times New Roman"/>
              </w:rPr>
              <w:t xml:space="preserve">не менее </w:t>
            </w:r>
            <w:r w:rsidRPr="00FC1702">
              <w:rPr>
                <w:rFonts w:ascii="Times New Roman" w:hAnsi="Times New Roman" w:cs="Times New Roman"/>
              </w:rPr>
              <w:t>12 месяцев.</w:t>
            </w:r>
          </w:p>
          <w:p w:rsidR="005646F4" w:rsidRPr="00146AC2" w:rsidRDefault="00FC1702" w:rsidP="00A1220F">
            <w:pPr>
              <w:spacing w:after="0" w:line="240" w:lineRule="auto"/>
              <w:jc w:val="both"/>
              <w:rPr>
                <w:rFonts w:ascii="Times New Roman" w:hAnsi="Times New Roman" w:cs="Times New Roman"/>
              </w:rPr>
            </w:pPr>
            <w:r w:rsidRPr="00FC1702">
              <w:rPr>
                <w:rFonts w:ascii="Times New Roman" w:hAnsi="Times New Roman" w:cs="Times New Roman"/>
              </w:rPr>
              <w:t>Возможность транспортирования при температуре до +25ºС 10 суток.</w:t>
            </w:r>
          </w:p>
        </w:tc>
        <w:tc>
          <w:tcPr>
            <w:tcW w:w="795"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Pr>
                <w:rFonts w:ascii="Times New Roman" w:hAnsi="Times New Roman" w:cs="Times New Roman"/>
                <w:sz w:val="24"/>
                <w:lang w:eastAsia="ru-RU"/>
              </w:rPr>
              <w:lastRenderedPageBreak/>
              <w:t>25</w:t>
            </w:r>
          </w:p>
        </w:tc>
        <w:tc>
          <w:tcPr>
            <w:tcW w:w="906"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набор</w:t>
            </w:r>
          </w:p>
        </w:tc>
        <w:tc>
          <w:tcPr>
            <w:tcW w:w="1586" w:type="dxa"/>
            <w:vAlign w:val="center"/>
          </w:tcPr>
          <w:p w:rsidR="005646F4" w:rsidRPr="00146AC2" w:rsidRDefault="005646F4" w:rsidP="00D77735">
            <w:pPr>
              <w:spacing w:after="0" w:line="240" w:lineRule="auto"/>
              <w:jc w:val="center"/>
              <w:rPr>
                <w:rFonts w:ascii="Times New Roman" w:hAnsi="Times New Roman" w:cs="Times New Roman"/>
                <w:sz w:val="24"/>
                <w:lang w:eastAsia="ru-RU"/>
              </w:rPr>
            </w:pPr>
            <w:r w:rsidRPr="00146AC2">
              <w:rPr>
                <w:rFonts w:ascii="Times New Roman" w:hAnsi="Times New Roman" w:cs="Times New Roman"/>
                <w:sz w:val="24"/>
                <w:lang w:eastAsia="ru-RU"/>
              </w:rPr>
              <w:t>21.20.23.110</w:t>
            </w:r>
          </w:p>
        </w:tc>
        <w:tc>
          <w:tcPr>
            <w:tcW w:w="1777"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773"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c>
          <w:tcPr>
            <w:tcW w:w="1031" w:type="dxa"/>
            <w:shd w:val="clear" w:color="auto" w:fill="FFFFCC"/>
            <w:vAlign w:val="center"/>
          </w:tcPr>
          <w:p w:rsidR="005646F4" w:rsidRPr="00146AC2" w:rsidRDefault="005646F4" w:rsidP="00D77735">
            <w:pPr>
              <w:spacing w:after="0" w:line="240" w:lineRule="auto"/>
              <w:jc w:val="center"/>
              <w:rPr>
                <w:rFonts w:ascii="Times New Roman" w:hAnsi="Times New Roman" w:cs="Times New Roman"/>
                <w:sz w:val="24"/>
                <w:lang w:eastAsia="ru-RU"/>
              </w:rPr>
            </w:pPr>
          </w:p>
        </w:tc>
      </w:tr>
    </w:tbl>
    <w:p w:rsidR="005646F4" w:rsidRPr="000437D6" w:rsidRDefault="005646F4"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5646F4">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5A3" w:rsidRDefault="001845A3">
      <w:pPr>
        <w:spacing w:after="0" w:line="240" w:lineRule="auto"/>
      </w:pPr>
      <w:r>
        <w:separator/>
      </w:r>
    </w:p>
  </w:endnote>
  <w:endnote w:type="continuationSeparator" w:id="0">
    <w:p w:rsidR="001845A3" w:rsidRDefault="00184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F2C28" w:rsidRDefault="003F2C2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F2C2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3F2C2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F2C2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3F2C2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5A3" w:rsidRDefault="001845A3">
      <w:pPr>
        <w:spacing w:after="0" w:line="240" w:lineRule="auto"/>
      </w:pPr>
      <w:r>
        <w:separator/>
      </w:r>
    </w:p>
  </w:footnote>
  <w:footnote w:type="continuationSeparator" w:id="0">
    <w:p w:rsidR="001845A3" w:rsidRDefault="001845A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F2C28" w:rsidRDefault="003F2C2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F2C28" w:rsidRDefault="003F2C2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3F2C28" w:rsidRDefault="003F2C2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45A3"/>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2C28"/>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46F4"/>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220F"/>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1702"/>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1884-4425-42A4-916A-B1A00460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2020-10-23T10:46:00Z</dcterms:created>
  <dcterms:modified xsi:type="dcterms:W3CDTF">2020-10-23T10:46:00Z</dcterms:modified>
</cp:coreProperties>
</file>