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7AF3DDB2" wp14:editId="788CF796">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21.06.2022 № 05-07/895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27.06.2022</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D3A1A">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5948"/>
        <w:gridCol w:w="8949"/>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реагентов для онкоиммунологии</w:t>
            </w:r>
            <w:r w:rsidRPr="004329AE">
              <w:rPr>
                <w:rFonts w:ascii="Times New Roman" w:hAnsi="Times New Roman" w:cs="Times New Roman"/>
                <w:b/>
                <w:sz w:val="24"/>
                <w:szCs w:val="24"/>
              </w:rPr>
              <w:fldChar w:fldCharType="end"/>
            </w:r>
            <w:bookmarkEnd w:id="5"/>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680DD0" w:rsidP="00AE3138">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ОКПД2"/>
                  <w:enabled/>
                  <w:calcOnExit w:val="0"/>
                  <w:textInput>
                    <w:default w:val="ОКПД2"/>
                  </w:textInput>
                </w:ffData>
              </w:fldChar>
            </w:r>
            <w:bookmarkStart w:id="6" w:name="ОКПД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6"/>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31.10.2022</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подписания контракта</w:t>
            </w:r>
            <w:r w:rsidRPr="00317DBA">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30.09.2022</w:t>
            </w:r>
            <w:r w:rsidRPr="00317DBA">
              <w:rPr>
                <w:rFonts w:ascii="Times New Roman" w:hAnsi="Times New Roman" w:cs="Times New Roman"/>
                <w:sz w:val="24"/>
                <w:szCs w:val="24"/>
              </w:rPr>
              <w:fldChar w:fldCharType="end"/>
            </w:r>
            <w:bookmarkEnd w:id="11"/>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6 (шести) рабочих дней после поступления письменной заявки от Покупателя. Последняя дата подачи заявки на поставку 22.09.2022. Максимальное количество партий - 10 (десять).</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Оплата производится в соответствии со сроками, установленными согласно части 13.1 статьи 34 Федерального закона от 05.04.2013г. № 44-ФЗ</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Регистрационные удостоверения</w:t>
            </w:r>
            <w:r w:rsidRPr="001347C5">
              <w:rPr>
                <w:rFonts w:ascii="Times New Roman" w:hAnsi="Times New Roman" w:cs="Times New Roman"/>
                <w:sz w:val="24"/>
                <w:szCs w:val="24"/>
              </w:rPr>
              <w:fldChar w:fldCharType="end"/>
            </w:r>
            <w:bookmarkEnd w:id="14"/>
          </w:p>
        </w:tc>
      </w:tr>
      <w:tr w:rsidR="00EE6B83" w:rsidRPr="008252D7" w:rsidTr="00B32574">
        <w:tc>
          <w:tcPr>
            <w:tcW w:w="0" w:type="auto"/>
          </w:tcPr>
          <w:p w:rsidR="00EE6B83" w:rsidRPr="008252D7" w:rsidRDefault="00162746" w:rsidP="002D10A6">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5"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6"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7"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60 %</w:t>
            </w:r>
            <w:r w:rsidRPr="00317DBA">
              <w:rPr>
                <w:rFonts w:ascii="Times New Roman" w:hAnsi="Times New Roman" w:cs="Times New Roman"/>
                <w:sz w:val="24"/>
                <w:szCs w:val="24"/>
              </w:rPr>
              <w:fldChar w:fldCharType="end"/>
            </w:r>
            <w:bookmarkEnd w:id="17"/>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8"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 предусмотрено</w:t>
            </w:r>
            <w:r w:rsidRPr="00E76E96">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9"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AF7A8D" w:rsidP="00AF7A8D">
            <w:pPr>
              <w:ind w:right="-1"/>
              <w:jc w:val="both"/>
              <w:rPr>
                <w:rFonts w:ascii="Times New Roman" w:hAnsi="Times New Roman" w:cs="Times New Roman"/>
                <w:sz w:val="24"/>
                <w:szCs w:val="24"/>
              </w:rPr>
            </w:pPr>
            <w:r w:rsidRPr="00AF7A8D">
              <w:rPr>
                <w:rFonts w:ascii="Times New Roman" w:hAnsi="Times New Roman" w:cs="Times New Roman"/>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Правительств</w:t>
            </w:r>
            <w:r>
              <w:rPr>
                <w:rFonts w:ascii="Times New Roman" w:hAnsi="Times New Roman" w:cs="Times New Roman"/>
                <w:sz w:val="24"/>
                <w:szCs w:val="24"/>
              </w:rPr>
              <w:t>а РФ от 5 февраля 2015 г. N 102</w:t>
            </w:r>
            <w:r w:rsidRPr="00AF7A8D">
              <w:rPr>
                <w:rFonts w:ascii="Times New Roman" w:hAnsi="Times New Roman" w:cs="Times New Roman"/>
                <w:sz w:val="24"/>
                <w:szCs w:val="24"/>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0"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1"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1"/>
          </w:p>
        </w:tc>
      </w:tr>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7"/>
          <w:footerReference w:type="first" r:id="rId18"/>
          <w:pgSz w:w="16838" w:h="11906" w:orient="landscape"/>
          <w:pgMar w:top="568" w:right="567" w:bottom="1701" w:left="992" w:header="567" w:footer="567" w:gutter="0"/>
          <w:cols w:space="708"/>
          <w:titlePg/>
          <w:docGrid w:linePitch="360"/>
        </w:sectPr>
      </w:pPr>
    </w:p>
    <w:bookmarkEnd w:id="0"/>
    <w:p w:rsidR="000820E3" w:rsidRPr="000437D6" w:rsidRDefault="00E52880"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599"/>
        <w:gridCol w:w="6095"/>
        <w:gridCol w:w="850"/>
        <w:gridCol w:w="815"/>
        <w:gridCol w:w="1497"/>
        <w:gridCol w:w="1348"/>
        <w:gridCol w:w="749"/>
        <w:gridCol w:w="1198"/>
        <w:gridCol w:w="1152"/>
      </w:tblGrid>
      <w:tr w:rsidR="00EC26CE" w:rsidRPr="00504E3B" w:rsidTr="00044EFC">
        <w:trPr>
          <w:trHeight w:val="20"/>
          <w:jc w:val="center"/>
        </w:trPr>
        <w:tc>
          <w:tcPr>
            <w:tcW w:w="627" w:type="dxa"/>
            <w:vAlign w:val="center"/>
            <w:hideMark/>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 п/п</w:t>
            </w:r>
          </w:p>
        </w:tc>
        <w:tc>
          <w:tcPr>
            <w:tcW w:w="1599" w:type="dxa"/>
            <w:vAlign w:val="center"/>
            <w:hideMark/>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 xml:space="preserve">Наименование товара </w:t>
            </w:r>
          </w:p>
        </w:tc>
        <w:tc>
          <w:tcPr>
            <w:tcW w:w="6095" w:type="dxa"/>
            <w:vAlign w:val="center"/>
            <w:hideMark/>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Требования к качеству, техническим и функциональным характеристикам товара</w:t>
            </w:r>
          </w:p>
        </w:tc>
        <w:tc>
          <w:tcPr>
            <w:tcW w:w="850" w:type="dxa"/>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Кол-во</w:t>
            </w:r>
          </w:p>
        </w:tc>
        <w:tc>
          <w:tcPr>
            <w:tcW w:w="815" w:type="dxa"/>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Ед. изм.</w:t>
            </w:r>
          </w:p>
        </w:tc>
        <w:tc>
          <w:tcPr>
            <w:tcW w:w="1497" w:type="dxa"/>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ОКПД2/ КТРУ</w:t>
            </w:r>
          </w:p>
        </w:tc>
        <w:tc>
          <w:tcPr>
            <w:tcW w:w="1348" w:type="dxa"/>
            <w:shd w:val="clear" w:color="auto" w:fill="FFFFCC"/>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Страна происхождения</w:t>
            </w:r>
          </w:p>
        </w:tc>
        <w:tc>
          <w:tcPr>
            <w:tcW w:w="749" w:type="dxa"/>
            <w:shd w:val="clear" w:color="auto" w:fill="FFFFCC"/>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НДС %</w:t>
            </w:r>
          </w:p>
        </w:tc>
        <w:tc>
          <w:tcPr>
            <w:tcW w:w="1198" w:type="dxa"/>
            <w:shd w:val="clear" w:color="auto" w:fill="FFFFCC"/>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Цена за ед. без НДС (руб.)</w:t>
            </w:r>
          </w:p>
        </w:tc>
        <w:tc>
          <w:tcPr>
            <w:tcW w:w="1152" w:type="dxa"/>
            <w:shd w:val="clear" w:color="auto" w:fill="FFFFCC"/>
            <w:vAlign w:val="center"/>
          </w:tcPr>
          <w:p w:rsidR="00EC26CE" w:rsidRPr="00504E3B" w:rsidRDefault="00EC26CE" w:rsidP="00044EFC">
            <w:pPr>
              <w:spacing w:after="0" w:line="240" w:lineRule="auto"/>
              <w:jc w:val="center"/>
              <w:rPr>
                <w:rFonts w:ascii="Times New Roman" w:hAnsi="Times New Roman"/>
                <w:b/>
                <w:lang w:eastAsia="ru-RU"/>
              </w:rPr>
            </w:pPr>
            <w:r w:rsidRPr="00504E3B">
              <w:rPr>
                <w:rFonts w:ascii="Times New Roman" w:hAnsi="Times New Roman"/>
                <w:b/>
                <w:lang w:eastAsia="ru-RU"/>
              </w:rPr>
              <w:t>Сумма без НДС (руб.)</w:t>
            </w:r>
          </w:p>
        </w:tc>
      </w:tr>
      <w:tr w:rsidR="00EC26CE" w:rsidRPr="00504E3B" w:rsidTr="00044EFC">
        <w:trPr>
          <w:trHeight w:val="20"/>
          <w:jc w:val="center"/>
        </w:trPr>
        <w:tc>
          <w:tcPr>
            <w:tcW w:w="627" w:type="dxa"/>
          </w:tcPr>
          <w:p w:rsidR="00EC26CE" w:rsidRPr="00504E3B" w:rsidRDefault="00EC26CE" w:rsidP="00044EFC">
            <w:pPr>
              <w:pStyle w:val="a7"/>
              <w:numPr>
                <w:ilvl w:val="0"/>
                <w:numId w:val="20"/>
              </w:numPr>
              <w:spacing w:after="0" w:line="240" w:lineRule="auto"/>
              <w:ind w:left="139" w:hanging="283"/>
              <w:jc w:val="center"/>
              <w:rPr>
                <w:rFonts w:ascii="Times New Roman" w:hAnsi="Times New Roman"/>
                <w:lang w:eastAsia="ru-RU"/>
              </w:rPr>
            </w:pPr>
          </w:p>
        </w:tc>
        <w:tc>
          <w:tcPr>
            <w:tcW w:w="1599" w:type="dxa"/>
          </w:tcPr>
          <w:p w:rsidR="00EC26CE" w:rsidRPr="00634D2E" w:rsidRDefault="00EC26CE" w:rsidP="00044EFC">
            <w:pPr>
              <w:spacing w:after="0" w:line="240" w:lineRule="auto"/>
              <w:rPr>
                <w:rFonts w:ascii="Times New Roman" w:eastAsia="Calibri" w:hAnsi="Times New Roman" w:cs="Times New Roman"/>
              </w:rPr>
            </w:pPr>
            <w:r w:rsidRPr="00B52149">
              <w:rPr>
                <w:rFonts w:ascii="Times New Roman" w:eastAsia="Calibri" w:hAnsi="Times New Roman" w:cs="Times New Roman"/>
              </w:rPr>
              <w:t>Питательная среда для клеточной культуры ИВД</w:t>
            </w:r>
          </w:p>
        </w:tc>
        <w:tc>
          <w:tcPr>
            <w:tcW w:w="6095" w:type="dxa"/>
          </w:tcPr>
          <w:p w:rsidR="00EC26CE" w:rsidRPr="001849E0" w:rsidRDefault="00EC26CE" w:rsidP="00044EFC">
            <w:pPr>
              <w:spacing w:after="0" w:line="240" w:lineRule="auto"/>
              <w:jc w:val="both"/>
              <w:rPr>
                <w:rFonts w:ascii="Times New Roman" w:hAnsi="Times New Roman"/>
                <w:sz w:val="20"/>
                <w:szCs w:val="20"/>
              </w:rPr>
            </w:pPr>
            <w:r w:rsidRPr="001849E0">
              <w:rPr>
                <w:rFonts w:ascii="Times New Roman" w:hAnsi="Times New Roman"/>
                <w:b/>
                <w:sz w:val="20"/>
                <w:szCs w:val="20"/>
              </w:rPr>
              <w:t>Объем питательной среды:</w:t>
            </w:r>
            <w:r>
              <w:rPr>
                <w:rFonts w:ascii="Times New Roman" w:hAnsi="Times New Roman"/>
                <w:b/>
                <w:sz w:val="20"/>
                <w:szCs w:val="20"/>
              </w:rPr>
              <w:t xml:space="preserve"> </w:t>
            </w:r>
            <w:r w:rsidRPr="001849E0">
              <w:rPr>
                <w:rFonts w:ascii="Times New Roman" w:hAnsi="Times New Roman"/>
                <w:sz w:val="20"/>
                <w:szCs w:val="20"/>
              </w:rPr>
              <w:t>450 Кубический сантиметр;^миллилитр.</w:t>
            </w:r>
          </w:p>
          <w:p w:rsidR="00EC26CE" w:rsidRPr="001849E0" w:rsidRDefault="00EC26CE" w:rsidP="00044EFC">
            <w:pPr>
              <w:spacing w:after="0" w:line="240" w:lineRule="auto"/>
              <w:jc w:val="both"/>
              <w:rPr>
                <w:rFonts w:ascii="Times New Roman" w:hAnsi="Times New Roman"/>
                <w:sz w:val="20"/>
                <w:szCs w:val="20"/>
              </w:rPr>
            </w:pPr>
            <w:r w:rsidRPr="001849E0">
              <w:rPr>
                <w:rFonts w:ascii="Times New Roman" w:hAnsi="Times New Roman"/>
                <w:b/>
                <w:sz w:val="20"/>
                <w:szCs w:val="20"/>
              </w:rPr>
              <w:t>Форма выпуска:</w:t>
            </w:r>
            <w:r w:rsidRPr="001849E0">
              <w:rPr>
                <w:rFonts w:ascii="Times New Roman" w:hAnsi="Times New Roman"/>
                <w:sz w:val="20"/>
                <w:szCs w:val="20"/>
              </w:rPr>
              <w:t xml:space="preserve"> Готовые к применению.</w:t>
            </w:r>
          </w:p>
          <w:p w:rsidR="00EC26CE" w:rsidRPr="001849E0" w:rsidRDefault="00EC26CE" w:rsidP="00044EFC">
            <w:pPr>
              <w:spacing w:after="0" w:line="240" w:lineRule="auto"/>
              <w:jc w:val="both"/>
              <w:rPr>
                <w:rFonts w:ascii="Times New Roman" w:hAnsi="Times New Roman"/>
                <w:b/>
                <w:sz w:val="20"/>
                <w:szCs w:val="20"/>
                <w:u w:val="single"/>
              </w:rPr>
            </w:pPr>
            <w:r w:rsidRPr="001849E0">
              <w:rPr>
                <w:rFonts w:ascii="Times New Roman" w:hAnsi="Times New Roman"/>
                <w:b/>
                <w:sz w:val="20"/>
                <w:szCs w:val="20"/>
                <w:u w:val="single"/>
              </w:rPr>
              <w:t>Дополнительные (уточняющие) характеристики*:</w:t>
            </w:r>
          </w:p>
          <w:p w:rsidR="00EC26CE" w:rsidRPr="001849E0" w:rsidRDefault="00EC26CE" w:rsidP="00044EFC">
            <w:pPr>
              <w:spacing w:after="0" w:line="240" w:lineRule="auto"/>
              <w:jc w:val="both"/>
              <w:rPr>
                <w:rFonts w:ascii="Times New Roman" w:hAnsi="Times New Roman"/>
                <w:b/>
                <w:sz w:val="20"/>
                <w:szCs w:val="20"/>
                <w:lang w:eastAsia="ru-RU"/>
              </w:rPr>
            </w:pPr>
            <w:r w:rsidRPr="001849E0">
              <w:rPr>
                <w:rFonts w:ascii="Times New Roman" w:hAnsi="Times New Roman"/>
                <w:sz w:val="20"/>
                <w:szCs w:val="20"/>
              </w:rPr>
              <w:t>Питательная среда RPMI-1640 для культивирования суспензионных культур клеток человека лейкоцитарного ряда. Прозрачная жидкость красновато-оранжевого цвета без опалесценции и осадка, с L-глутамином, без антибиотиков; п</w:t>
            </w:r>
            <w:r w:rsidRPr="001849E0">
              <w:rPr>
                <w:rFonts w:ascii="Times New Roman" w:hAnsi="Times New Roman"/>
                <w:color w:val="000000"/>
                <w:sz w:val="20"/>
                <w:szCs w:val="20"/>
              </w:rPr>
              <w:t>ростерилизована через фильтры с размером пор 0,22 мкм</w:t>
            </w:r>
            <w:r w:rsidRPr="001849E0">
              <w:rPr>
                <w:rFonts w:ascii="Times New Roman" w:hAnsi="Times New Roman"/>
                <w:sz w:val="20"/>
                <w:szCs w:val="20"/>
              </w:rPr>
              <w:t xml:space="preserve">; рН - от 7,1 до 7,5; буферная емкость (мл) – не менее 4,5. Специфическая активность: для культур клеток </w:t>
            </w:r>
            <w:r w:rsidRPr="001849E0">
              <w:rPr>
                <w:rFonts w:ascii="Times New Roman" w:hAnsi="Times New Roman"/>
                <w:sz w:val="20"/>
                <w:szCs w:val="20"/>
                <w:lang w:val="en-US"/>
              </w:rPr>
              <w:t>Vero</w:t>
            </w:r>
            <w:r w:rsidRPr="001849E0">
              <w:rPr>
                <w:rFonts w:ascii="Times New Roman" w:hAnsi="Times New Roman"/>
                <w:sz w:val="20"/>
                <w:szCs w:val="20"/>
              </w:rPr>
              <w:t xml:space="preserve"> (</w:t>
            </w:r>
            <w:r w:rsidRPr="001849E0">
              <w:rPr>
                <w:rFonts w:ascii="Times New Roman" w:hAnsi="Times New Roman"/>
                <w:sz w:val="20"/>
                <w:szCs w:val="20"/>
                <w:lang w:val="en-US"/>
              </w:rPr>
              <w:t>B</w:t>
            </w:r>
            <w:r w:rsidRPr="001849E0">
              <w:rPr>
                <w:rFonts w:ascii="Times New Roman" w:hAnsi="Times New Roman"/>
                <w:sz w:val="20"/>
                <w:szCs w:val="20"/>
              </w:rPr>
              <w:t>): формирование монослоя на 3-4 сутки; индекс пролиферации после 5 пассажа не менее 2,0. Условия хранения и транспортировки: при температуре от +2°С до +8°С</w:t>
            </w:r>
            <w:r>
              <w:rPr>
                <w:rFonts w:ascii="Times New Roman" w:hAnsi="Times New Roman"/>
                <w:sz w:val="20"/>
                <w:szCs w:val="20"/>
              </w:rPr>
              <w:t xml:space="preserve">. Упаковка: прозрачный </w:t>
            </w:r>
            <w:r w:rsidRPr="001849E0">
              <w:rPr>
                <w:rFonts w:ascii="Times New Roman" w:hAnsi="Times New Roman"/>
                <w:sz w:val="20"/>
                <w:szCs w:val="20"/>
              </w:rPr>
              <w:t>ПЭТ флакон.</w:t>
            </w:r>
            <w:r w:rsidRPr="001849E0">
              <w:rPr>
                <w:rFonts w:ascii="Times New Roman" w:hAnsi="Times New Roman"/>
                <w:i/>
                <w:sz w:val="20"/>
                <w:szCs w:val="20"/>
              </w:rPr>
              <w:t xml:space="preserve"> </w:t>
            </w:r>
          </w:p>
        </w:tc>
        <w:tc>
          <w:tcPr>
            <w:tcW w:w="850" w:type="dxa"/>
          </w:tcPr>
          <w:p w:rsidR="00EC26CE" w:rsidRPr="001849E0" w:rsidRDefault="00EC26CE" w:rsidP="00044EFC">
            <w:pPr>
              <w:spacing w:after="0" w:line="240" w:lineRule="auto"/>
              <w:jc w:val="center"/>
              <w:rPr>
                <w:rFonts w:ascii="Times New Roman" w:hAnsi="Times New Roman"/>
                <w:b/>
                <w:sz w:val="20"/>
                <w:szCs w:val="20"/>
                <w:lang w:eastAsia="ru-RU"/>
              </w:rPr>
            </w:pPr>
            <w:r w:rsidRPr="001849E0">
              <w:rPr>
                <w:rFonts w:ascii="Times New Roman" w:hAnsi="Times New Roman"/>
                <w:sz w:val="20"/>
                <w:szCs w:val="20"/>
                <w:lang w:eastAsia="ru-RU"/>
              </w:rPr>
              <w:t>140</w:t>
            </w:r>
          </w:p>
        </w:tc>
        <w:tc>
          <w:tcPr>
            <w:tcW w:w="815" w:type="dxa"/>
          </w:tcPr>
          <w:p w:rsidR="00EC26CE" w:rsidRPr="001849E0" w:rsidRDefault="00EC26CE" w:rsidP="00044EFC">
            <w:pPr>
              <w:spacing w:after="0" w:line="240" w:lineRule="auto"/>
              <w:jc w:val="center"/>
              <w:rPr>
                <w:rFonts w:ascii="Times New Roman" w:hAnsi="Times New Roman"/>
                <w:b/>
                <w:sz w:val="20"/>
                <w:szCs w:val="20"/>
                <w:lang w:eastAsia="ru-RU"/>
              </w:rPr>
            </w:pPr>
            <w:r w:rsidRPr="001849E0">
              <w:rPr>
                <w:rFonts w:ascii="Times New Roman" w:hAnsi="Times New Roman"/>
                <w:sz w:val="20"/>
                <w:szCs w:val="20"/>
                <w:lang w:eastAsia="ru-RU"/>
              </w:rPr>
              <w:t>упак</w:t>
            </w:r>
          </w:p>
        </w:tc>
        <w:tc>
          <w:tcPr>
            <w:tcW w:w="1497" w:type="dxa"/>
          </w:tcPr>
          <w:p w:rsidR="00EC26CE" w:rsidRPr="0070385D" w:rsidRDefault="00EC26CE" w:rsidP="00044EFC">
            <w:pPr>
              <w:spacing w:after="0" w:line="240" w:lineRule="auto"/>
              <w:jc w:val="center"/>
              <w:rPr>
                <w:rFonts w:ascii="Times New Roman" w:hAnsi="Times New Roman"/>
                <w:b/>
                <w:sz w:val="20"/>
                <w:szCs w:val="20"/>
                <w:lang w:eastAsia="ru-RU"/>
              </w:rPr>
            </w:pPr>
            <w:r w:rsidRPr="0070385D">
              <w:rPr>
                <w:rFonts w:ascii="Times New Roman" w:hAnsi="Times New Roman"/>
                <w:sz w:val="20"/>
                <w:szCs w:val="20"/>
                <w:lang w:eastAsia="ru-RU"/>
              </w:rPr>
              <w:t>20.59.52.140-00000016</w:t>
            </w:r>
            <w:r>
              <w:rPr>
                <w:rFonts w:ascii="Times New Roman" w:hAnsi="Times New Roman"/>
                <w:sz w:val="20"/>
                <w:szCs w:val="20"/>
                <w:lang w:eastAsia="ru-RU"/>
              </w:rPr>
              <w:t>*</w:t>
            </w:r>
          </w:p>
        </w:tc>
        <w:tc>
          <w:tcPr>
            <w:tcW w:w="1348"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749"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1198"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1152"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r>
      <w:tr w:rsidR="00EC26CE" w:rsidRPr="00504E3B" w:rsidTr="00044EFC">
        <w:trPr>
          <w:trHeight w:val="20"/>
          <w:jc w:val="center"/>
        </w:trPr>
        <w:tc>
          <w:tcPr>
            <w:tcW w:w="627" w:type="dxa"/>
          </w:tcPr>
          <w:p w:rsidR="00EC26CE" w:rsidRPr="00504E3B" w:rsidRDefault="00EC26CE" w:rsidP="00044EFC">
            <w:pPr>
              <w:pStyle w:val="a7"/>
              <w:numPr>
                <w:ilvl w:val="0"/>
                <w:numId w:val="20"/>
              </w:numPr>
              <w:spacing w:after="0" w:line="240" w:lineRule="auto"/>
              <w:ind w:left="139" w:hanging="283"/>
              <w:jc w:val="center"/>
              <w:rPr>
                <w:rFonts w:ascii="Times New Roman" w:hAnsi="Times New Roman"/>
                <w:lang w:eastAsia="ru-RU"/>
              </w:rPr>
            </w:pPr>
          </w:p>
        </w:tc>
        <w:tc>
          <w:tcPr>
            <w:tcW w:w="1599" w:type="dxa"/>
          </w:tcPr>
          <w:p w:rsidR="00EC26CE" w:rsidRPr="00634D2E" w:rsidRDefault="00EC26CE" w:rsidP="00044EFC">
            <w:pPr>
              <w:spacing w:after="0" w:line="240" w:lineRule="auto"/>
              <w:rPr>
                <w:rFonts w:ascii="Times New Roman" w:eastAsia="Calibri" w:hAnsi="Times New Roman" w:cs="Times New Roman"/>
              </w:rPr>
            </w:pPr>
            <w:r w:rsidRPr="00B52149">
              <w:rPr>
                <w:rFonts w:ascii="Times New Roman" w:eastAsia="Calibri" w:hAnsi="Times New Roman" w:cs="Times New Roman"/>
              </w:rPr>
              <w:t>Питательная среда для клеточной культуры ИВД</w:t>
            </w:r>
          </w:p>
        </w:tc>
        <w:tc>
          <w:tcPr>
            <w:tcW w:w="6095" w:type="dxa"/>
          </w:tcPr>
          <w:p w:rsidR="00EC26CE" w:rsidRPr="001849E0" w:rsidRDefault="00EC26CE" w:rsidP="00044EFC">
            <w:pPr>
              <w:spacing w:after="0" w:line="240" w:lineRule="auto"/>
              <w:ind w:left="92" w:hanging="92"/>
              <w:jc w:val="both"/>
              <w:rPr>
                <w:rFonts w:ascii="Times New Roman" w:hAnsi="Times New Roman"/>
                <w:sz w:val="20"/>
                <w:szCs w:val="20"/>
              </w:rPr>
            </w:pPr>
            <w:r w:rsidRPr="001849E0">
              <w:rPr>
                <w:rFonts w:ascii="Times New Roman" w:hAnsi="Times New Roman"/>
                <w:b/>
                <w:sz w:val="20"/>
                <w:szCs w:val="20"/>
              </w:rPr>
              <w:t>Объем питательной среды:</w:t>
            </w:r>
            <w:r w:rsidRPr="001849E0">
              <w:rPr>
                <w:rFonts w:ascii="Times New Roman" w:hAnsi="Times New Roman"/>
                <w:sz w:val="20"/>
                <w:szCs w:val="20"/>
              </w:rPr>
              <w:t xml:space="preserve"> 450 Кубический сантиметр;^миллилитр.</w:t>
            </w:r>
          </w:p>
          <w:p w:rsidR="00EC26CE" w:rsidRPr="001849E0" w:rsidRDefault="00EC26CE" w:rsidP="00044EFC">
            <w:pPr>
              <w:spacing w:after="0" w:line="240" w:lineRule="auto"/>
              <w:jc w:val="both"/>
              <w:rPr>
                <w:rFonts w:ascii="Times New Roman" w:hAnsi="Times New Roman"/>
                <w:sz w:val="20"/>
                <w:szCs w:val="20"/>
              </w:rPr>
            </w:pPr>
            <w:r w:rsidRPr="001849E0">
              <w:rPr>
                <w:rFonts w:ascii="Times New Roman" w:hAnsi="Times New Roman"/>
                <w:b/>
                <w:sz w:val="20"/>
                <w:szCs w:val="20"/>
              </w:rPr>
              <w:t>Форма выпуска:</w:t>
            </w:r>
            <w:r w:rsidRPr="001849E0">
              <w:rPr>
                <w:rFonts w:ascii="Times New Roman" w:hAnsi="Times New Roman"/>
                <w:sz w:val="20"/>
                <w:szCs w:val="20"/>
              </w:rPr>
              <w:t xml:space="preserve"> Готовые к применению.</w:t>
            </w:r>
          </w:p>
          <w:p w:rsidR="00EC26CE" w:rsidRPr="001849E0" w:rsidRDefault="00EC26CE" w:rsidP="00044EFC">
            <w:pPr>
              <w:spacing w:after="0" w:line="240" w:lineRule="auto"/>
              <w:jc w:val="both"/>
              <w:rPr>
                <w:rFonts w:ascii="Times New Roman" w:hAnsi="Times New Roman"/>
                <w:b/>
                <w:sz w:val="20"/>
                <w:szCs w:val="20"/>
                <w:u w:val="single"/>
              </w:rPr>
            </w:pPr>
            <w:r w:rsidRPr="001849E0">
              <w:rPr>
                <w:rFonts w:ascii="Times New Roman" w:hAnsi="Times New Roman"/>
                <w:b/>
                <w:sz w:val="20"/>
                <w:szCs w:val="20"/>
                <w:u w:val="single"/>
              </w:rPr>
              <w:t>Дополнительные (уточняющие) характеристики*:</w:t>
            </w:r>
          </w:p>
          <w:p w:rsidR="00EC26CE" w:rsidRPr="001849E0" w:rsidRDefault="00EC26CE" w:rsidP="00044EFC">
            <w:pPr>
              <w:spacing w:after="0" w:line="240" w:lineRule="auto"/>
              <w:jc w:val="both"/>
              <w:rPr>
                <w:rFonts w:ascii="Times New Roman" w:hAnsi="Times New Roman"/>
                <w:sz w:val="20"/>
                <w:szCs w:val="20"/>
              </w:rPr>
            </w:pPr>
            <w:r w:rsidRPr="001849E0">
              <w:rPr>
                <w:rFonts w:ascii="Times New Roman" w:hAnsi="Times New Roman"/>
                <w:sz w:val="20"/>
                <w:szCs w:val="20"/>
              </w:rPr>
              <w:t>Питательная среда DMEM/F12 для культивирования широкого спектра монослойных культур клеток млекопитающих. Прозрачная жидкость красновато-оранжевого цвета без опалесценции и осадка, с L-глутамином, без антибиотиков, п</w:t>
            </w:r>
            <w:r w:rsidRPr="001849E0">
              <w:rPr>
                <w:rFonts w:ascii="Times New Roman" w:hAnsi="Times New Roman"/>
                <w:color w:val="000000"/>
                <w:sz w:val="20"/>
                <w:szCs w:val="20"/>
              </w:rPr>
              <w:t>ростерилизована через фильтры с размером пор 0,22 мкм</w:t>
            </w:r>
            <w:r w:rsidRPr="001849E0">
              <w:rPr>
                <w:rFonts w:ascii="Times New Roman" w:hAnsi="Times New Roman"/>
                <w:sz w:val="20"/>
                <w:szCs w:val="20"/>
              </w:rPr>
              <w:t xml:space="preserve">; рН – от 7,1 до 7,5; буферная емкость (мл) – не менее 4,5. Специфическая активность: для культур клеток типа М-22, ЛЭЧ-Т: формирование монослоя на 3-4 сутки; индекс пролиферации после 5 пассажа не менее 2,0. Условия хранения и транспортировки: при температуре от +2°С до +8°С в </w:t>
            </w:r>
            <w:r>
              <w:rPr>
                <w:rFonts w:ascii="Times New Roman" w:hAnsi="Times New Roman"/>
                <w:sz w:val="20"/>
                <w:szCs w:val="20"/>
              </w:rPr>
              <w:t>темноте</w:t>
            </w:r>
            <w:r w:rsidRPr="001849E0">
              <w:rPr>
                <w:rFonts w:ascii="Times New Roman" w:hAnsi="Times New Roman"/>
                <w:sz w:val="20"/>
                <w:szCs w:val="20"/>
              </w:rPr>
              <w:t>. Упаковка</w:t>
            </w:r>
            <w:r>
              <w:rPr>
                <w:rFonts w:ascii="Times New Roman" w:hAnsi="Times New Roman"/>
                <w:sz w:val="20"/>
                <w:szCs w:val="20"/>
              </w:rPr>
              <w:t>: прозрачный</w:t>
            </w:r>
            <w:r w:rsidRPr="001849E0">
              <w:rPr>
                <w:rFonts w:ascii="Times New Roman" w:hAnsi="Times New Roman"/>
                <w:sz w:val="20"/>
                <w:szCs w:val="20"/>
              </w:rPr>
              <w:t>- ПЭТ флакон.</w:t>
            </w:r>
          </w:p>
        </w:tc>
        <w:tc>
          <w:tcPr>
            <w:tcW w:w="850" w:type="dxa"/>
          </w:tcPr>
          <w:p w:rsidR="00EC26CE" w:rsidRPr="001849E0" w:rsidRDefault="00EC26CE" w:rsidP="00044EFC">
            <w:pPr>
              <w:spacing w:after="0" w:line="240" w:lineRule="auto"/>
              <w:jc w:val="center"/>
              <w:rPr>
                <w:rFonts w:ascii="Times New Roman" w:hAnsi="Times New Roman"/>
                <w:sz w:val="20"/>
                <w:szCs w:val="20"/>
                <w:lang w:eastAsia="ru-RU"/>
              </w:rPr>
            </w:pPr>
            <w:r w:rsidRPr="001849E0">
              <w:rPr>
                <w:rFonts w:ascii="Times New Roman" w:hAnsi="Times New Roman"/>
                <w:sz w:val="20"/>
                <w:szCs w:val="20"/>
                <w:lang w:eastAsia="ru-RU"/>
              </w:rPr>
              <w:t>150</w:t>
            </w:r>
          </w:p>
        </w:tc>
        <w:tc>
          <w:tcPr>
            <w:tcW w:w="815" w:type="dxa"/>
          </w:tcPr>
          <w:p w:rsidR="00EC26CE" w:rsidRPr="001849E0" w:rsidRDefault="00EC26CE" w:rsidP="00044EFC">
            <w:pPr>
              <w:spacing w:after="0" w:line="240" w:lineRule="auto"/>
              <w:jc w:val="center"/>
              <w:rPr>
                <w:rFonts w:ascii="Times New Roman" w:hAnsi="Times New Roman"/>
                <w:sz w:val="20"/>
                <w:szCs w:val="20"/>
                <w:lang w:eastAsia="ru-RU"/>
              </w:rPr>
            </w:pPr>
            <w:r w:rsidRPr="001849E0">
              <w:rPr>
                <w:rFonts w:ascii="Times New Roman" w:hAnsi="Times New Roman"/>
                <w:sz w:val="20"/>
                <w:szCs w:val="20"/>
                <w:lang w:eastAsia="ru-RU"/>
              </w:rPr>
              <w:t>упак</w:t>
            </w:r>
          </w:p>
        </w:tc>
        <w:tc>
          <w:tcPr>
            <w:tcW w:w="1497" w:type="dxa"/>
          </w:tcPr>
          <w:p w:rsidR="00EC26CE" w:rsidRPr="0070385D" w:rsidRDefault="00EC26CE" w:rsidP="00044EFC">
            <w:pPr>
              <w:spacing w:after="0" w:line="240" w:lineRule="auto"/>
              <w:jc w:val="center"/>
              <w:rPr>
                <w:rFonts w:ascii="Times New Roman" w:hAnsi="Times New Roman"/>
                <w:sz w:val="20"/>
                <w:szCs w:val="20"/>
                <w:lang w:eastAsia="ru-RU"/>
              </w:rPr>
            </w:pPr>
            <w:r w:rsidRPr="0070385D">
              <w:rPr>
                <w:rFonts w:ascii="Times New Roman" w:hAnsi="Times New Roman"/>
                <w:sz w:val="20"/>
                <w:szCs w:val="20"/>
                <w:lang w:eastAsia="ru-RU"/>
              </w:rPr>
              <w:t>20.59.52.140-00000016</w:t>
            </w:r>
            <w:r>
              <w:rPr>
                <w:rFonts w:ascii="Times New Roman" w:hAnsi="Times New Roman"/>
                <w:sz w:val="20"/>
                <w:szCs w:val="20"/>
                <w:lang w:eastAsia="ru-RU"/>
              </w:rPr>
              <w:t>*</w:t>
            </w:r>
          </w:p>
        </w:tc>
        <w:tc>
          <w:tcPr>
            <w:tcW w:w="1348"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749"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1198"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c>
          <w:tcPr>
            <w:tcW w:w="1152" w:type="dxa"/>
            <w:shd w:val="clear" w:color="auto" w:fill="FFFFCC"/>
          </w:tcPr>
          <w:p w:rsidR="00EC26CE" w:rsidRPr="00504E3B" w:rsidRDefault="00EC26CE" w:rsidP="00044EFC">
            <w:pPr>
              <w:spacing w:after="0" w:line="240" w:lineRule="auto"/>
              <w:jc w:val="center"/>
              <w:rPr>
                <w:rFonts w:ascii="Times New Roman" w:hAnsi="Times New Roman"/>
                <w:lang w:eastAsia="ru-RU"/>
              </w:rPr>
            </w:pPr>
          </w:p>
        </w:tc>
      </w:tr>
    </w:tbl>
    <w:p w:rsidR="00170252" w:rsidRPr="00EC26CE" w:rsidRDefault="00EC26CE" w:rsidP="000820E3">
      <w:pPr>
        <w:rPr>
          <w:b/>
          <w:bCs/>
          <w:sz w:val="28"/>
          <w:szCs w:val="28"/>
        </w:rPr>
      </w:pPr>
      <w:r>
        <w:rPr>
          <w:b/>
          <w:bCs/>
          <w:sz w:val="28"/>
          <w:szCs w:val="28"/>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sectPr w:rsidR="00170252" w:rsidRPr="00EC26CE" w:rsidSect="00EC26CE">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12" w:rsidRDefault="005A1312">
      <w:pPr>
        <w:spacing w:after="0" w:line="240" w:lineRule="auto"/>
      </w:pPr>
      <w:r>
        <w:separator/>
      </w:r>
    </w:p>
  </w:endnote>
  <w:endnote w:type="continuationSeparator" w:id="0">
    <w:p w:rsidR="005A1312" w:rsidRDefault="005A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D3A1A" w:rsidRDefault="007D3A1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7D3A1A">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D3A1A">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7D3A1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D3A1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D3A1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F7A8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12" w:rsidRDefault="005A1312">
      <w:pPr>
        <w:spacing w:after="0" w:line="240" w:lineRule="auto"/>
      </w:pPr>
      <w:r>
        <w:separator/>
      </w:r>
    </w:p>
  </w:footnote>
  <w:footnote w:type="continuationSeparator" w:id="0">
    <w:p w:rsidR="005A1312" w:rsidRDefault="005A1312">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D3A1A" w:rsidRDefault="007D3A1A">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D3A1A" w:rsidRDefault="007D3A1A">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D3A1A" w:rsidRDefault="007D3A1A">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7B7F"/>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10A6"/>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1312"/>
    <w:rsid w:val="005A566A"/>
    <w:rsid w:val="005B1AF4"/>
    <w:rsid w:val="005B710E"/>
    <w:rsid w:val="005F153F"/>
    <w:rsid w:val="00623487"/>
    <w:rsid w:val="00632D4D"/>
    <w:rsid w:val="00637F5D"/>
    <w:rsid w:val="006420B2"/>
    <w:rsid w:val="00642D06"/>
    <w:rsid w:val="006474B5"/>
    <w:rsid w:val="00650AB9"/>
    <w:rsid w:val="00680267"/>
    <w:rsid w:val="00680B51"/>
    <w:rsid w:val="00680DD0"/>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3A1A"/>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A8D"/>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FF8"/>
    <w:rsid w:val="00BB195D"/>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61F8"/>
    <w:rsid w:val="00EC26CE"/>
    <w:rsid w:val="00EC3EA8"/>
    <w:rsid w:val="00ED2F34"/>
    <w:rsid w:val="00EE2E62"/>
    <w:rsid w:val="00EE4AA9"/>
    <w:rsid w:val="00EE6B83"/>
    <w:rsid w:val="00EF093D"/>
    <w:rsid w:val="00EF7254"/>
    <w:rsid w:val="00F01074"/>
    <w:rsid w:val="00F16CB6"/>
    <w:rsid w:val="00F27547"/>
    <w:rsid w:val="00F2794C"/>
    <w:rsid w:val="00F33B71"/>
    <w:rsid w:val="00F3582B"/>
    <w:rsid w:val="00F374E2"/>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F399-821A-4DAE-8E74-CFCD9707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Елена В.. Иванова</cp:lastModifiedBy>
  <cp:revision>2</cp:revision>
  <cp:lastPrinted>2018-01-19T15:25:00Z</cp:lastPrinted>
  <dcterms:created xsi:type="dcterms:W3CDTF">2022-06-21T09:20:00Z</dcterms:created>
  <dcterms:modified xsi:type="dcterms:W3CDTF">2022-06-21T09:20:00Z</dcterms:modified>
</cp:coreProperties>
</file>