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21.04.2025 № 21.1-03/777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9161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85E4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РУ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85E4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85E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6" w:type="pct"/>
        <w:tblInd w:w="-152" w:type="dxa"/>
        <w:tblLayout w:type="fixed"/>
        <w:tblLook w:val="04A0" w:firstRow="1" w:lastRow="0" w:firstColumn="1" w:lastColumn="0" w:noHBand="0" w:noVBand="1"/>
      </w:tblPr>
      <w:tblGrid>
        <w:gridCol w:w="438"/>
        <w:gridCol w:w="1525"/>
        <w:gridCol w:w="1135"/>
        <w:gridCol w:w="2415"/>
        <w:gridCol w:w="1551"/>
        <w:gridCol w:w="1417"/>
        <w:gridCol w:w="2126"/>
        <w:gridCol w:w="1138"/>
        <w:gridCol w:w="991"/>
        <w:gridCol w:w="1135"/>
        <w:gridCol w:w="852"/>
        <w:gridCol w:w="709"/>
        <w:gridCol w:w="822"/>
      </w:tblGrid>
      <w:tr w:rsidR="00985E49" w:rsidRPr="00985E49" w:rsidTr="00985E49">
        <w:trPr>
          <w:trHeight w:val="402"/>
        </w:trPr>
        <w:tc>
          <w:tcPr>
            <w:tcW w:w="135" w:type="pct"/>
            <w:vMerge w:val="restart"/>
            <w:tcBorders>
              <w:top w:val="single" w:sz="8" w:space="0" w:color="000000"/>
              <w:left w:val="single" w:sz="8" w:space="0" w:color="000000"/>
              <w:bottom w:val="single" w:sz="8" w:space="0" w:color="000000"/>
              <w:right w:val="single" w:sz="8" w:space="0" w:color="000000"/>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69" w:type="pct"/>
            <w:vMerge w:val="restart"/>
            <w:tcBorders>
              <w:top w:val="single" w:sz="8" w:space="0" w:color="000000"/>
              <w:left w:val="single" w:sz="8" w:space="0" w:color="000000"/>
              <w:bottom w:val="single" w:sz="8" w:space="0" w:color="000000"/>
              <w:right w:val="single" w:sz="8" w:space="0" w:color="000000"/>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Наименование товара, работы, услуги</w:t>
            </w:r>
          </w:p>
        </w:tc>
        <w:tc>
          <w:tcPr>
            <w:tcW w:w="349" w:type="pct"/>
            <w:vMerge w:val="restart"/>
            <w:tcBorders>
              <w:top w:val="single" w:sz="8" w:space="0" w:color="000000"/>
              <w:left w:val="single" w:sz="8" w:space="0" w:color="000000"/>
              <w:bottom w:val="single" w:sz="8" w:space="0" w:color="000000"/>
              <w:right w:val="single" w:sz="8" w:space="0" w:color="000000"/>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Код позиции</w:t>
            </w:r>
          </w:p>
        </w:tc>
        <w:tc>
          <w:tcPr>
            <w:tcW w:w="2310" w:type="pct"/>
            <w:gridSpan w:val="4"/>
            <w:tcBorders>
              <w:top w:val="single" w:sz="8" w:space="0" w:color="000000"/>
              <w:left w:val="nil"/>
              <w:bottom w:val="single" w:sz="8" w:space="0" w:color="000000"/>
              <w:right w:val="single" w:sz="8" w:space="0" w:color="000000"/>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Характеристики товара, работы, услуги</w:t>
            </w:r>
          </w:p>
        </w:tc>
        <w:tc>
          <w:tcPr>
            <w:tcW w:w="350" w:type="pct"/>
            <w:vMerge w:val="restart"/>
            <w:tcBorders>
              <w:top w:val="single" w:sz="8" w:space="0" w:color="000000"/>
              <w:left w:val="single" w:sz="8" w:space="0" w:color="000000"/>
              <w:bottom w:val="single" w:sz="8" w:space="0" w:color="000000"/>
              <w:right w:val="single" w:sz="8" w:space="0" w:color="000000"/>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Количество</w:t>
            </w:r>
          </w:p>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(объем работы, услуги)</w:t>
            </w:r>
          </w:p>
        </w:tc>
        <w:tc>
          <w:tcPr>
            <w:tcW w:w="305" w:type="pct"/>
            <w:vMerge w:val="restart"/>
            <w:tcBorders>
              <w:top w:val="single" w:sz="8" w:space="0" w:color="000000"/>
              <w:left w:val="single" w:sz="8" w:space="0" w:color="000000"/>
              <w:bottom w:val="single" w:sz="8" w:space="0" w:color="000000"/>
              <w:right w:val="nil"/>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Единица измерения</w:t>
            </w:r>
          </w:p>
        </w:tc>
        <w:tc>
          <w:tcPr>
            <w:tcW w:w="349" w:type="pct"/>
            <w:vMerge w:val="restart"/>
            <w:tcBorders>
              <w:top w:val="single" w:sz="4" w:space="0" w:color="auto"/>
              <w:left w:val="single" w:sz="4" w:space="0" w:color="auto"/>
              <w:bottom w:val="single" w:sz="4" w:space="0" w:color="000000"/>
              <w:right w:val="single" w:sz="4" w:space="0" w:color="auto"/>
            </w:tcBorders>
            <w:noWrap/>
            <w:vAlign w:val="center"/>
            <w:hideMark/>
          </w:tcPr>
          <w:p w:rsidR="00985E49" w:rsidRPr="00985E49" w:rsidRDefault="00985E49" w:rsidP="00985E49">
            <w:pPr>
              <w:spacing w:after="0" w:line="240" w:lineRule="auto"/>
              <w:jc w:val="center"/>
              <w:rPr>
                <w:rFonts w:ascii="Times New Roman" w:eastAsia="Times New Roman" w:hAnsi="Times New Roman" w:cs="Times New Roman"/>
                <w:b/>
                <w:color w:val="000000"/>
                <w:sz w:val="16"/>
                <w:szCs w:val="16"/>
                <w:lang w:eastAsia="ru-RU"/>
              </w:rPr>
            </w:pPr>
            <w:r w:rsidRPr="00985E49">
              <w:rPr>
                <w:rFonts w:ascii="Times New Roman" w:eastAsia="Times New Roman" w:hAnsi="Times New Roman" w:cs="Times New Roman"/>
                <w:b/>
                <w:color w:val="000000"/>
                <w:sz w:val="16"/>
                <w:szCs w:val="16"/>
                <w:lang w:eastAsia="ru-RU"/>
              </w:rPr>
              <w:t>Страна происхождения товара</w:t>
            </w:r>
          </w:p>
          <w:p w:rsidR="00985E49" w:rsidRPr="00985E49" w:rsidRDefault="00985E49" w:rsidP="00985E49">
            <w:pPr>
              <w:spacing w:after="0" w:line="240" w:lineRule="auto"/>
              <w:jc w:val="center"/>
              <w:rPr>
                <w:rFonts w:ascii="Times New Roman" w:eastAsia="Times New Roman" w:hAnsi="Times New Roman" w:cs="Times New Roman"/>
                <w:b/>
                <w:color w:val="000000"/>
                <w:sz w:val="16"/>
                <w:szCs w:val="16"/>
                <w:lang w:eastAsia="ru-RU"/>
              </w:rPr>
            </w:pPr>
          </w:p>
        </w:tc>
        <w:tc>
          <w:tcPr>
            <w:tcW w:w="262" w:type="pct"/>
            <w:vMerge w:val="restart"/>
            <w:tcBorders>
              <w:top w:val="single" w:sz="4" w:space="0" w:color="auto"/>
              <w:left w:val="single" w:sz="4" w:space="0" w:color="auto"/>
              <w:bottom w:val="single" w:sz="4" w:space="0" w:color="000000"/>
              <w:right w:val="single" w:sz="4" w:space="0" w:color="auto"/>
            </w:tcBorders>
            <w:noWrap/>
            <w:vAlign w:val="center"/>
            <w:hideMark/>
          </w:tcPr>
          <w:p w:rsidR="00985E49" w:rsidRPr="00985E49" w:rsidRDefault="00985E49" w:rsidP="00985E49">
            <w:pPr>
              <w:spacing w:after="0" w:line="240" w:lineRule="auto"/>
              <w:jc w:val="center"/>
              <w:rPr>
                <w:rFonts w:ascii="Times New Roman" w:eastAsia="Times New Roman" w:hAnsi="Times New Roman" w:cs="Times New Roman"/>
                <w:b/>
                <w:color w:val="000000"/>
                <w:sz w:val="16"/>
                <w:szCs w:val="16"/>
                <w:lang w:eastAsia="ru-RU"/>
              </w:rPr>
            </w:pPr>
            <w:r w:rsidRPr="00985E49">
              <w:rPr>
                <w:rFonts w:ascii="Times New Roman" w:eastAsia="Times New Roman" w:hAnsi="Times New Roman" w:cs="Times New Roman"/>
                <w:b/>
                <w:color w:val="000000"/>
                <w:sz w:val="16"/>
                <w:szCs w:val="16"/>
                <w:lang w:eastAsia="ru-RU"/>
              </w:rPr>
              <w:t>Ставка НДС%</w:t>
            </w:r>
          </w:p>
          <w:p w:rsidR="00985E49" w:rsidRPr="00985E49" w:rsidRDefault="00985E49" w:rsidP="00985E49">
            <w:pPr>
              <w:spacing w:after="0" w:line="240" w:lineRule="auto"/>
              <w:jc w:val="center"/>
              <w:rPr>
                <w:rFonts w:ascii="Times New Roman" w:eastAsia="Times New Roman" w:hAnsi="Times New Roman" w:cs="Times New Roman"/>
                <w:b/>
                <w:color w:val="000000"/>
                <w:sz w:val="16"/>
                <w:szCs w:val="16"/>
                <w:lang w:eastAsia="ru-RU"/>
              </w:rPr>
            </w:pPr>
          </w:p>
          <w:p w:rsidR="00985E49" w:rsidRPr="00985E49" w:rsidRDefault="00985E49" w:rsidP="00985E49">
            <w:pPr>
              <w:spacing w:after="0" w:line="240" w:lineRule="auto"/>
              <w:jc w:val="center"/>
              <w:rPr>
                <w:rFonts w:ascii="Times New Roman" w:eastAsia="Times New Roman" w:hAnsi="Times New Roman" w:cs="Times New Roman"/>
                <w:b/>
                <w:color w:val="000000"/>
                <w:sz w:val="16"/>
                <w:szCs w:val="16"/>
                <w:lang w:eastAsia="ru-RU"/>
              </w:rPr>
            </w:pPr>
          </w:p>
        </w:tc>
        <w:tc>
          <w:tcPr>
            <w:tcW w:w="218" w:type="pct"/>
            <w:vMerge w:val="restart"/>
            <w:tcBorders>
              <w:top w:val="single" w:sz="4" w:space="0" w:color="auto"/>
              <w:left w:val="single" w:sz="4" w:space="0" w:color="auto"/>
              <w:bottom w:val="single" w:sz="4" w:space="0" w:color="000000"/>
              <w:right w:val="single" w:sz="4" w:space="0" w:color="auto"/>
            </w:tcBorders>
            <w:noWrap/>
            <w:vAlign w:val="center"/>
            <w:hideMark/>
          </w:tcPr>
          <w:p w:rsidR="00985E49" w:rsidRPr="00985E49" w:rsidRDefault="00985E49" w:rsidP="00985E49">
            <w:pPr>
              <w:spacing w:after="0" w:line="240" w:lineRule="auto"/>
              <w:jc w:val="center"/>
              <w:rPr>
                <w:rFonts w:ascii="Times New Roman" w:eastAsia="Times New Roman" w:hAnsi="Times New Roman" w:cs="Times New Roman"/>
                <w:b/>
                <w:color w:val="000000"/>
                <w:sz w:val="16"/>
                <w:szCs w:val="16"/>
                <w:lang w:eastAsia="ru-RU"/>
              </w:rPr>
            </w:pPr>
            <w:r w:rsidRPr="00985E49">
              <w:rPr>
                <w:rFonts w:ascii="Times New Roman" w:eastAsia="Times New Roman" w:hAnsi="Times New Roman" w:cs="Times New Roman"/>
                <w:b/>
                <w:color w:val="000000"/>
                <w:sz w:val="16"/>
                <w:szCs w:val="16"/>
                <w:lang w:eastAsia="ru-RU"/>
              </w:rPr>
              <w:t>Цена за ед. без НДС</w:t>
            </w:r>
          </w:p>
          <w:p w:rsidR="00985E49" w:rsidRPr="00985E49" w:rsidRDefault="00985E49" w:rsidP="00985E49">
            <w:pPr>
              <w:spacing w:after="0" w:line="240" w:lineRule="auto"/>
              <w:jc w:val="center"/>
              <w:rPr>
                <w:rFonts w:ascii="Times New Roman" w:eastAsia="Times New Roman" w:hAnsi="Times New Roman" w:cs="Times New Roman"/>
                <w:b/>
                <w:color w:val="000000"/>
                <w:sz w:val="16"/>
                <w:szCs w:val="16"/>
                <w:lang w:eastAsia="ru-RU"/>
              </w:rPr>
            </w:pPr>
          </w:p>
        </w:tc>
        <w:tc>
          <w:tcPr>
            <w:tcW w:w="253" w:type="pct"/>
            <w:vMerge w:val="restart"/>
            <w:tcBorders>
              <w:top w:val="single" w:sz="4" w:space="0" w:color="auto"/>
              <w:left w:val="single" w:sz="4" w:space="0" w:color="auto"/>
              <w:bottom w:val="single" w:sz="4" w:space="0" w:color="000000"/>
              <w:right w:val="single" w:sz="4" w:space="0" w:color="auto"/>
            </w:tcBorders>
            <w:noWrap/>
            <w:vAlign w:val="center"/>
            <w:hideMark/>
          </w:tcPr>
          <w:p w:rsidR="00985E49" w:rsidRPr="00985E49" w:rsidRDefault="00985E49" w:rsidP="00985E49">
            <w:pPr>
              <w:spacing w:after="0" w:line="240" w:lineRule="auto"/>
              <w:jc w:val="center"/>
              <w:rPr>
                <w:rFonts w:ascii="Times New Roman" w:eastAsia="Times New Roman" w:hAnsi="Times New Roman" w:cs="Times New Roman"/>
                <w:b/>
                <w:color w:val="000000"/>
                <w:sz w:val="16"/>
                <w:szCs w:val="16"/>
                <w:lang w:eastAsia="ru-RU"/>
              </w:rPr>
            </w:pPr>
            <w:r w:rsidRPr="00985E49">
              <w:rPr>
                <w:rFonts w:ascii="Times New Roman" w:eastAsia="Times New Roman" w:hAnsi="Times New Roman" w:cs="Times New Roman"/>
                <w:b/>
                <w:color w:val="000000"/>
                <w:sz w:val="16"/>
                <w:szCs w:val="16"/>
                <w:lang w:eastAsia="ru-RU"/>
              </w:rPr>
              <w:t>Сумма без НДС</w:t>
            </w:r>
          </w:p>
          <w:p w:rsidR="00985E49" w:rsidRPr="00985E49" w:rsidRDefault="00985E49" w:rsidP="00985E49">
            <w:pPr>
              <w:spacing w:after="0" w:line="240" w:lineRule="auto"/>
              <w:jc w:val="center"/>
              <w:rPr>
                <w:rFonts w:ascii="Times New Roman" w:eastAsia="Times New Roman" w:hAnsi="Times New Roman" w:cs="Times New Roman"/>
                <w:b/>
                <w:color w:val="000000"/>
                <w:sz w:val="16"/>
                <w:szCs w:val="16"/>
                <w:lang w:eastAsia="ru-RU"/>
              </w:rPr>
            </w:pPr>
          </w:p>
        </w:tc>
      </w:tr>
      <w:tr w:rsidR="00985E49" w:rsidRPr="00985E49" w:rsidTr="00985E49">
        <w:trPr>
          <w:trHeight w:val="402"/>
        </w:trPr>
        <w:tc>
          <w:tcPr>
            <w:tcW w:w="135" w:type="pct"/>
            <w:vMerge/>
            <w:tcBorders>
              <w:top w:val="single" w:sz="8" w:space="0" w:color="000000"/>
              <w:left w:val="single" w:sz="8" w:space="0" w:color="000000"/>
              <w:bottom w:val="single" w:sz="8" w:space="0" w:color="000000"/>
              <w:right w:val="single" w:sz="8" w:space="0" w:color="000000"/>
            </w:tcBorders>
            <w:vAlign w:val="center"/>
            <w:hideMark/>
          </w:tcPr>
          <w:p w:rsidR="00985E49" w:rsidRPr="00985E49" w:rsidRDefault="00985E49" w:rsidP="00985E49">
            <w:pPr>
              <w:spacing w:after="0" w:line="240" w:lineRule="auto"/>
              <w:rPr>
                <w:rFonts w:ascii="Times New Roman" w:eastAsia="Times New Roman" w:hAnsi="Times New Roman" w:cs="Times New Roman"/>
                <w:b/>
                <w:bCs/>
                <w:color w:val="000000"/>
                <w:sz w:val="16"/>
                <w:szCs w:val="16"/>
                <w:lang w:eastAsia="ru-RU"/>
              </w:rPr>
            </w:pPr>
          </w:p>
        </w:tc>
        <w:tc>
          <w:tcPr>
            <w:tcW w:w="469" w:type="pct"/>
            <w:vMerge/>
            <w:tcBorders>
              <w:top w:val="single" w:sz="8" w:space="0" w:color="000000"/>
              <w:left w:val="single" w:sz="8" w:space="0" w:color="000000"/>
              <w:bottom w:val="single" w:sz="8" w:space="0" w:color="000000"/>
              <w:right w:val="single" w:sz="8" w:space="0" w:color="000000"/>
            </w:tcBorders>
            <w:vAlign w:val="center"/>
            <w:hideMark/>
          </w:tcPr>
          <w:p w:rsidR="00985E49" w:rsidRPr="00985E49" w:rsidRDefault="00985E49" w:rsidP="00985E49">
            <w:pPr>
              <w:spacing w:after="0" w:line="240" w:lineRule="auto"/>
              <w:rPr>
                <w:rFonts w:ascii="Times New Roman" w:eastAsia="Times New Roman" w:hAnsi="Times New Roman" w:cs="Times New Roman"/>
                <w:b/>
                <w:bCs/>
                <w:color w:val="000000"/>
                <w:sz w:val="16"/>
                <w:szCs w:val="16"/>
                <w:lang w:eastAsia="ru-RU"/>
              </w:rPr>
            </w:pPr>
          </w:p>
        </w:tc>
        <w:tc>
          <w:tcPr>
            <w:tcW w:w="349" w:type="pct"/>
            <w:vMerge/>
            <w:tcBorders>
              <w:top w:val="single" w:sz="8" w:space="0" w:color="000000"/>
              <w:left w:val="single" w:sz="8" w:space="0" w:color="000000"/>
              <w:bottom w:val="single" w:sz="8" w:space="0" w:color="000000"/>
              <w:right w:val="single" w:sz="8" w:space="0" w:color="000000"/>
            </w:tcBorders>
            <w:vAlign w:val="center"/>
            <w:hideMark/>
          </w:tcPr>
          <w:p w:rsidR="00985E49" w:rsidRPr="00985E49" w:rsidRDefault="00985E49" w:rsidP="00985E49">
            <w:pPr>
              <w:spacing w:after="0" w:line="240" w:lineRule="auto"/>
              <w:rPr>
                <w:rFonts w:ascii="Times New Roman" w:eastAsia="Times New Roman" w:hAnsi="Times New Roman" w:cs="Times New Roman"/>
                <w:b/>
                <w:bCs/>
                <w:color w:val="000000"/>
                <w:sz w:val="16"/>
                <w:szCs w:val="16"/>
                <w:lang w:eastAsia="ru-RU"/>
              </w:rPr>
            </w:pPr>
          </w:p>
        </w:tc>
        <w:tc>
          <w:tcPr>
            <w:tcW w:w="743" w:type="pct"/>
            <w:tcBorders>
              <w:top w:val="nil"/>
              <w:left w:val="nil"/>
              <w:bottom w:val="single" w:sz="4" w:space="0" w:color="auto"/>
              <w:right w:val="single" w:sz="8" w:space="0" w:color="000000"/>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Наименование характеристики</w:t>
            </w:r>
          </w:p>
        </w:tc>
        <w:tc>
          <w:tcPr>
            <w:tcW w:w="477" w:type="pct"/>
            <w:tcBorders>
              <w:top w:val="nil"/>
              <w:left w:val="nil"/>
              <w:bottom w:val="single" w:sz="4" w:space="0" w:color="auto"/>
              <w:right w:val="single" w:sz="8" w:space="0" w:color="000000"/>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Значение характеристики</w:t>
            </w:r>
          </w:p>
        </w:tc>
        <w:tc>
          <w:tcPr>
            <w:tcW w:w="436" w:type="pct"/>
            <w:tcBorders>
              <w:top w:val="nil"/>
              <w:left w:val="nil"/>
              <w:bottom w:val="single" w:sz="4" w:space="0" w:color="auto"/>
              <w:right w:val="single" w:sz="8" w:space="0" w:color="000000"/>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Единица измерения характеристики</w:t>
            </w:r>
          </w:p>
        </w:tc>
        <w:tc>
          <w:tcPr>
            <w:tcW w:w="654" w:type="pct"/>
            <w:tcBorders>
              <w:top w:val="nil"/>
              <w:left w:val="nil"/>
              <w:bottom w:val="single" w:sz="4" w:space="0" w:color="auto"/>
              <w:right w:val="single" w:sz="8" w:space="0" w:color="000000"/>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b/>
                <w:bCs/>
                <w:color w:val="000000"/>
                <w:sz w:val="16"/>
                <w:szCs w:val="16"/>
                <w:lang w:eastAsia="ru-RU"/>
              </w:rPr>
            </w:pPr>
            <w:r w:rsidRPr="00985E4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0" w:type="pct"/>
            <w:vMerge/>
            <w:tcBorders>
              <w:top w:val="single" w:sz="8" w:space="0" w:color="000000"/>
              <w:left w:val="single" w:sz="8" w:space="0" w:color="000000"/>
              <w:bottom w:val="single" w:sz="8" w:space="0" w:color="000000"/>
              <w:right w:val="single" w:sz="8" w:space="0" w:color="000000"/>
            </w:tcBorders>
            <w:vAlign w:val="center"/>
            <w:hideMark/>
          </w:tcPr>
          <w:p w:rsidR="00985E49" w:rsidRPr="00985E49" w:rsidRDefault="00985E49" w:rsidP="00985E49">
            <w:pPr>
              <w:spacing w:after="0" w:line="240" w:lineRule="auto"/>
              <w:rPr>
                <w:rFonts w:ascii="Times New Roman" w:eastAsia="Times New Roman" w:hAnsi="Times New Roman" w:cs="Times New Roman"/>
                <w:b/>
                <w:bCs/>
                <w:color w:val="000000"/>
                <w:sz w:val="16"/>
                <w:szCs w:val="16"/>
                <w:lang w:eastAsia="ru-RU"/>
              </w:rPr>
            </w:pPr>
          </w:p>
        </w:tc>
        <w:tc>
          <w:tcPr>
            <w:tcW w:w="305" w:type="pct"/>
            <w:vMerge/>
            <w:tcBorders>
              <w:top w:val="single" w:sz="8" w:space="0" w:color="000000"/>
              <w:left w:val="single" w:sz="8" w:space="0" w:color="000000"/>
              <w:bottom w:val="single" w:sz="8" w:space="0" w:color="000000"/>
              <w:right w:val="nil"/>
            </w:tcBorders>
            <w:vAlign w:val="center"/>
            <w:hideMark/>
          </w:tcPr>
          <w:p w:rsidR="00985E49" w:rsidRPr="00985E49" w:rsidRDefault="00985E49" w:rsidP="00985E49">
            <w:pPr>
              <w:spacing w:after="0" w:line="240" w:lineRule="auto"/>
              <w:rPr>
                <w:rFonts w:ascii="Times New Roman" w:eastAsia="Times New Roman" w:hAnsi="Times New Roman" w:cs="Times New Roman"/>
                <w:b/>
                <w:bCs/>
                <w:color w:val="000000"/>
                <w:sz w:val="16"/>
                <w:szCs w:val="16"/>
                <w:lang w:eastAsia="ru-RU"/>
              </w:rPr>
            </w:pPr>
          </w:p>
        </w:tc>
        <w:tc>
          <w:tcPr>
            <w:tcW w:w="349" w:type="pct"/>
            <w:vMerge/>
            <w:tcBorders>
              <w:top w:val="single" w:sz="4" w:space="0" w:color="auto"/>
              <w:left w:val="single" w:sz="4" w:space="0" w:color="auto"/>
              <w:bottom w:val="single" w:sz="4" w:space="0" w:color="000000"/>
              <w:right w:val="single" w:sz="4" w:space="0" w:color="auto"/>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top w:val="single" w:sz="4" w:space="0" w:color="auto"/>
              <w:left w:val="single" w:sz="4" w:space="0" w:color="auto"/>
              <w:bottom w:val="single" w:sz="4" w:space="0" w:color="000000"/>
              <w:right w:val="single" w:sz="4" w:space="0" w:color="auto"/>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top w:val="single" w:sz="4" w:space="0" w:color="auto"/>
              <w:left w:val="single" w:sz="4" w:space="0" w:color="auto"/>
              <w:bottom w:val="single" w:sz="4" w:space="0" w:color="000000"/>
              <w:right w:val="single" w:sz="4" w:space="0" w:color="auto"/>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292"/>
        </w:trPr>
        <w:tc>
          <w:tcPr>
            <w:tcW w:w="135" w:type="pct"/>
            <w:vMerge w:val="restart"/>
            <w:tcBorders>
              <w:top w:val="nil"/>
              <w:left w:val="single" w:sz="8" w:space="0" w:color="auto"/>
              <w:bottom w:val="single" w:sz="8" w:space="0" w:color="000000"/>
              <w:right w:val="single" w:sz="8" w:space="0" w:color="auto"/>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1</w:t>
            </w:r>
          </w:p>
        </w:tc>
        <w:tc>
          <w:tcPr>
            <w:tcW w:w="469" w:type="pct"/>
            <w:vMerge w:val="restart"/>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rPr>
                <w:rFonts w:ascii="Times New Roman" w:hAnsi="Times New Roman"/>
                <w:sz w:val="16"/>
                <w:szCs w:val="16"/>
              </w:rPr>
            </w:pPr>
          </w:p>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Компонент для бедренной кости цементной фиксации</w:t>
            </w:r>
          </w:p>
        </w:tc>
        <w:tc>
          <w:tcPr>
            <w:tcW w:w="349" w:type="pct"/>
            <w:vMerge w:val="restart"/>
            <w:tcBorders>
              <w:top w:val="nil"/>
              <w:left w:val="single" w:sz="8" w:space="0" w:color="auto"/>
              <w:bottom w:val="single" w:sz="8" w:space="0" w:color="000000"/>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32.50.22.110</w:t>
            </w:r>
          </w:p>
        </w:tc>
        <w:tc>
          <w:tcPr>
            <w:tcW w:w="743"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olor w:val="000000"/>
                <w:sz w:val="16"/>
                <w:szCs w:val="16"/>
                <w:lang w:eastAsia="ru-RU"/>
              </w:rPr>
              <w:t>Внутренняя поверхность имеет легкую шероховатость по всей поверхности, контактирующей с костью, имеет ребра для увеличения площади соприкосновения с цементом</w:t>
            </w:r>
          </w:p>
        </w:tc>
        <w:tc>
          <w:tcPr>
            <w:tcW w:w="477"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Соответствует</w:t>
            </w:r>
          </w:p>
        </w:tc>
        <w:tc>
          <w:tcPr>
            <w:tcW w:w="436"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val="restart"/>
            <w:tcBorders>
              <w:top w:val="nil"/>
              <w:left w:val="single" w:sz="4" w:space="0" w:color="auto"/>
              <w:bottom w:val="single" w:sz="8" w:space="0" w:color="000000"/>
              <w:right w:val="single" w:sz="8" w:space="0" w:color="auto"/>
            </w:tcBorders>
            <w:vAlign w:val="center"/>
            <w:hideMark/>
          </w:tcPr>
          <w:p w:rsidR="00985E49" w:rsidRPr="00985E49" w:rsidRDefault="00385C11" w:rsidP="00985E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305" w:type="pct"/>
            <w:vMerge w:val="restart"/>
            <w:tcBorders>
              <w:top w:val="nil"/>
              <w:left w:val="single" w:sz="8" w:space="0" w:color="auto"/>
              <w:bottom w:val="single" w:sz="8" w:space="0" w:color="000000"/>
              <w:right w:val="nil"/>
            </w:tcBorders>
            <w:vAlign w:val="center"/>
            <w:hideMark/>
          </w:tcPr>
          <w:p w:rsidR="00985E49" w:rsidRPr="00385C11" w:rsidRDefault="00385C11" w:rsidP="00985E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ш</w:t>
            </w:r>
            <w:r>
              <w:rPr>
                <w:rFonts w:ascii="Times New Roman" w:eastAsia="Times New Roman" w:hAnsi="Times New Roman" w:cs="Times New Roman"/>
                <w:color w:val="000000"/>
                <w:sz w:val="16"/>
                <w:szCs w:val="16"/>
                <w:lang w:eastAsia="ru-RU"/>
              </w:rPr>
              <w:t>тука</w:t>
            </w:r>
          </w:p>
        </w:tc>
        <w:tc>
          <w:tcPr>
            <w:tcW w:w="349" w:type="pct"/>
            <w:vMerge w:val="restart"/>
            <w:tcBorders>
              <w:top w:val="nil"/>
              <w:left w:val="single" w:sz="4" w:space="0" w:color="auto"/>
              <w:bottom w:val="single" w:sz="4" w:space="0" w:color="000000"/>
              <w:right w:val="single" w:sz="4" w:space="0" w:color="auto"/>
            </w:tcBorders>
            <w:noWrap/>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262" w:type="pct"/>
            <w:vMerge w:val="restart"/>
            <w:tcBorders>
              <w:top w:val="nil"/>
              <w:left w:val="single" w:sz="4" w:space="0" w:color="auto"/>
              <w:bottom w:val="single" w:sz="4" w:space="0" w:color="000000"/>
              <w:right w:val="single" w:sz="4" w:space="0" w:color="auto"/>
            </w:tcBorders>
            <w:noWrap/>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218" w:type="pct"/>
            <w:vMerge w:val="restart"/>
            <w:tcBorders>
              <w:top w:val="nil"/>
              <w:left w:val="single" w:sz="4" w:space="0" w:color="auto"/>
              <w:bottom w:val="single" w:sz="4" w:space="0" w:color="000000"/>
              <w:right w:val="single" w:sz="4" w:space="0" w:color="auto"/>
            </w:tcBorders>
            <w:noWrap/>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restart"/>
            <w:tcBorders>
              <w:top w:val="nil"/>
              <w:left w:val="single" w:sz="4" w:space="0" w:color="auto"/>
              <w:bottom w:val="single" w:sz="4" w:space="0" w:color="000000"/>
              <w:right w:val="single" w:sz="4" w:space="0" w:color="auto"/>
            </w:tcBorders>
            <w:noWrap/>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r>
      <w:tr w:rsidR="00985E49" w:rsidRPr="00985E49" w:rsidTr="00985E49">
        <w:trPr>
          <w:trHeight w:val="292"/>
        </w:trPr>
        <w:tc>
          <w:tcPr>
            <w:tcW w:w="135" w:type="pct"/>
            <w:vMerge/>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jc w:val="center"/>
              <w:rPr>
                <w:rFonts w:ascii="Times New Roman" w:hAnsi="Times New Roman"/>
                <w:sz w:val="20"/>
                <w:szCs w:val="20"/>
              </w:rPr>
            </w:pPr>
          </w:p>
        </w:tc>
        <w:tc>
          <w:tcPr>
            <w:tcW w:w="349" w:type="pct"/>
            <w:vMerge/>
            <w:tcBorders>
              <w:top w:val="nil"/>
              <w:left w:val="single" w:sz="8" w:space="0" w:color="auto"/>
              <w:bottom w:val="single" w:sz="8" w:space="0" w:color="000000"/>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743"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olor w:val="000000"/>
                <w:sz w:val="16"/>
                <w:szCs w:val="16"/>
                <w:lang w:eastAsia="ru-RU"/>
              </w:rPr>
              <w:t>Компонент в исполнении для правой и левой конечности, с анатомическим треком для надколенника</w:t>
            </w:r>
          </w:p>
        </w:tc>
        <w:tc>
          <w:tcPr>
            <w:tcW w:w="477"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Соответствует</w:t>
            </w:r>
          </w:p>
        </w:tc>
        <w:tc>
          <w:tcPr>
            <w:tcW w:w="436"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tcBorders>
              <w:top w:val="nil"/>
              <w:left w:val="single" w:sz="4" w:space="0" w:color="auto"/>
              <w:bottom w:val="single" w:sz="8" w:space="0" w:color="000000"/>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305" w:type="pct"/>
            <w:vMerge/>
            <w:tcBorders>
              <w:top w:val="nil"/>
              <w:left w:val="single" w:sz="8" w:space="0" w:color="auto"/>
              <w:bottom w:val="single" w:sz="8" w:space="0" w:color="000000"/>
              <w:right w:val="nil"/>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top w:val="nil"/>
              <w:left w:val="single" w:sz="4" w:space="0" w:color="auto"/>
              <w:bottom w:val="single" w:sz="4" w:space="0" w:color="000000"/>
              <w:right w:val="single" w:sz="4" w:space="0" w:color="auto"/>
            </w:tcBorders>
            <w:noWrap/>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262" w:type="pct"/>
            <w:vMerge/>
            <w:tcBorders>
              <w:top w:val="nil"/>
              <w:left w:val="single" w:sz="4" w:space="0" w:color="auto"/>
              <w:bottom w:val="single" w:sz="4" w:space="0" w:color="000000"/>
              <w:right w:val="single" w:sz="4" w:space="0" w:color="auto"/>
            </w:tcBorders>
            <w:noWrap/>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218" w:type="pct"/>
            <w:vMerge/>
            <w:tcBorders>
              <w:top w:val="nil"/>
              <w:left w:val="single" w:sz="4" w:space="0" w:color="auto"/>
              <w:bottom w:val="single" w:sz="4" w:space="0" w:color="000000"/>
              <w:right w:val="single" w:sz="4" w:space="0" w:color="auto"/>
            </w:tcBorders>
            <w:noWrap/>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tcBorders>
              <w:top w:val="nil"/>
              <w:left w:val="single" w:sz="4" w:space="0" w:color="auto"/>
              <w:bottom w:val="single" w:sz="4" w:space="0" w:color="000000"/>
              <w:right w:val="single" w:sz="4" w:space="0" w:color="auto"/>
            </w:tcBorders>
            <w:noWrap/>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top w:val="nil"/>
              <w:left w:val="single" w:sz="8" w:space="0" w:color="auto"/>
              <w:bottom w:val="single" w:sz="8" w:space="0" w:color="000000"/>
              <w:right w:val="single" w:sz="8" w:space="0" w:color="auto"/>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single" w:sz="4" w:space="0" w:color="auto"/>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Типоразмеры</w:t>
            </w:r>
          </w:p>
        </w:tc>
        <w:tc>
          <w:tcPr>
            <w:tcW w:w="477" w:type="pct"/>
            <w:tcBorders>
              <w:top w:val="single" w:sz="4" w:space="0" w:color="auto"/>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не менее, чем 3 варианта размеров: медиально- латеральный размер должен быть 60,5; 65,0 и 70,0 мм, сагиттальный размер- 60,0; 63,6 и 65,0 мм</w:t>
            </w:r>
          </w:p>
        </w:tc>
        <w:tc>
          <w:tcPr>
            <w:tcW w:w="436" w:type="pct"/>
            <w:tcBorders>
              <w:top w:val="single" w:sz="4" w:space="0" w:color="auto"/>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654" w:type="pct"/>
            <w:tcBorders>
              <w:top w:val="single" w:sz="4" w:space="0" w:color="auto"/>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0" w:type="pct"/>
            <w:vMerge/>
            <w:tcBorders>
              <w:top w:val="nil"/>
              <w:left w:val="single" w:sz="8" w:space="0" w:color="auto"/>
              <w:bottom w:val="single" w:sz="8" w:space="0" w:color="000000"/>
              <w:right w:val="single" w:sz="8" w:space="0" w:color="auto"/>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top w:val="nil"/>
              <w:left w:val="single" w:sz="8" w:space="0" w:color="auto"/>
              <w:bottom w:val="single" w:sz="8" w:space="0" w:color="000000"/>
              <w:right w:val="nil"/>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top w:val="nil"/>
              <w:left w:val="single" w:sz="8" w:space="0" w:color="auto"/>
              <w:bottom w:val="single" w:sz="8" w:space="0" w:color="000000"/>
              <w:right w:val="single" w:sz="8" w:space="0" w:color="auto"/>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olor w:val="000000"/>
                <w:sz w:val="16"/>
                <w:szCs w:val="16"/>
                <w:lang w:eastAsia="ru-RU"/>
              </w:rPr>
              <w:t>Типоразмеры поставляются по заявке Заказчика</w:t>
            </w:r>
          </w:p>
        </w:tc>
        <w:tc>
          <w:tcPr>
            <w:tcW w:w="477"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Соответствует</w:t>
            </w:r>
          </w:p>
        </w:tc>
        <w:tc>
          <w:tcPr>
            <w:tcW w:w="436"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tcBorders>
              <w:top w:val="nil"/>
              <w:left w:val="single" w:sz="8" w:space="0" w:color="auto"/>
              <w:bottom w:val="single" w:sz="8" w:space="0" w:color="000000"/>
              <w:right w:val="single" w:sz="8" w:space="0" w:color="auto"/>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top w:val="nil"/>
              <w:left w:val="single" w:sz="8" w:space="0" w:color="auto"/>
              <w:bottom w:val="single" w:sz="8" w:space="0" w:color="000000"/>
              <w:right w:val="nil"/>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top w:val="nil"/>
              <w:left w:val="single" w:sz="8" w:space="0" w:color="auto"/>
              <w:bottom w:val="single" w:sz="8" w:space="0" w:color="000000"/>
              <w:right w:val="single" w:sz="8" w:space="0" w:color="auto"/>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Материал изготовления - сплав кобальт-хром-молибден (CoCrMo)</w:t>
            </w:r>
          </w:p>
        </w:tc>
        <w:tc>
          <w:tcPr>
            <w:tcW w:w="477"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Соответствует</w:t>
            </w:r>
          </w:p>
        </w:tc>
        <w:tc>
          <w:tcPr>
            <w:tcW w:w="436"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tcBorders>
              <w:top w:val="nil"/>
              <w:left w:val="single" w:sz="8" w:space="0" w:color="auto"/>
              <w:bottom w:val="single" w:sz="8" w:space="0" w:color="000000"/>
              <w:right w:val="single" w:sz="8" w:space="0" w:color="auto"/>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top w:val="nil"/>
              <w:left w:val="single" w:sz="8" w:space="0" w:color="auto"/>
              <w:bottom w:val="single" w:sz="8" w:space="0" w:color="000000"/>
              <w:right w:val="nil"/>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top w:val="nil"/>
              <w:left w:val="single" w:sz="8" w:space="0" w:color="auto"/>
              <w:bottom w:val="single" w:sz="8" w:space="0" w:color="000000"/>
              <w:right w:val="single" w:sz="8" w:space="0" w:color="auto"/>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olor w:val="000000"/>
                <w:sz w:val="16"/>
                <w:szCs w:val="16"/>
                <w:lang w:eastAsia="ru-RU"/>
              </w:rPr>
              <w:t>Увеличенная площадь соприкосновения с прокладкой при сгибании около 60 градусов</w:t>
            </w:r>
          </w:p>
        </w:tc>
        <w:tc>
          <w:tcPr>
            <w:tcW w:w="477"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Соответствует</w:t>
            </w:r>
          </w:p>
        </w:tc>
        <w:tc>
          <w:tcPr>
            <w:tcW w:w="436"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nil"/>
              <w:left w:val="nil"/>
              <w:bottom w:val="single" w:sz="8"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tcBorders>
              <w:top w:val="nil"/>
              <w:left w:val="single" w:sz="8" w:space="0" w:color="auto"/>
              <w:bottom w:val="single" w:sz="8" w:space="0" w:color="000000"/>
              <w:right w:val="single" w:sz="8" w:space="0" w:color="auto"/>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top w:val="nil"/>
              <w:left w:val="single" w:sz="8" w:space="0" w:color="auto"/>
              <w:bottom w:val="single" w:sz="8" w:space="0" w:color="000000"/>
              <w:right w:val="nil"/>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top w:val="nil"/>
              <w:left w:val="single" w:sz="4" w:space="0" w:color="auto"/>
              <w:bottom w:val="single" w:sz="4" w:space="0" w:color="000000"/>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top w:val="nil"/>
              <w:left w:val="single" w:sz="8" w:space="0" w:color="auto"/>
              <w:bottom w:val="single" w:sz="4" w:space="0" w:color="auto"/>
              <w:right w:val="single" w:sz="8" w:space="0" w:color="auto"/>
            </w:tcBorders>
            <w:vAlign w:val="center"/>
            <w:hideMark/>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top w:val="nil"/>
              <w:left w:val="single" w:sz="8" w:space="0" w:color="auto"/>
              <w:bottom w:val="single" w:sz="4" w:space="0" w:color="auto"/>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4" w:space="0" w:color="auto"/>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nil"/>
              <w:left w:val="nil"/>
              <w:bottom w:val="single" w:sz="4"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Цементной фиксации</w:t>
            </w:r>
          </w:p>
        </w:tc>
        <w:tc>
          <w:tcPr>
            <w:tcW w:w="477" w:type="pct"/>
            <w:tcBorders>
              <w:top w:val="nil"/>
              <w:left w:val="nil"/>
              <w:bottom w:val="single" w:sz="4"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Соответствует</w:t>
            </w:r>
          </w:p>
        </w:tc>
        <w:tc>
          <w:tcPr>
            <w:tcW w:w="436" w:type="pct"/>
            <w:tcBorders>
              <w:top w:val="nil"/>
              <w:left w:val="nil"/>
              <w:bottom w:val="single" w:sz="4" w:space="0" w:color="auto"/>
              <w:right w:val="single" w:sz="8"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nil"/>
              <w:left w:val="nil"/>
              <w:bottom w:val="single" w:sz="4" w:space="0" w:color="auto"/>
              <w:right w:val="single" w:sz="8"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tcBorders>
              <w:top w:val="nil"/>
              <w:left w:val="single" w:sz="8" w:space="0" w:color="auto"/>
              <w:bottom w:val="single" w:sz="4" w:space="0" w:color="auto"/>
              <w:right w:val="single" w:sz="8" w:space="0" w:color="auto"/>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top w:val="nil"/>
              <w:left w:val="single" w:sz="8" w:space="0" w:color="auto"/>
              <w:bottom w:val="single" w:sz="4" w:space="0" w:color="auto"/>
              <w:right w:val="nil"/>
            </w:tcBorders>
            <w:vAlign w:val="center"/>
            <w:hideMark/>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top w:val="nil"/>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top w:val="nil"/>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top w:val="nil"/>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val="restart"/>
            <w:tcBorders>
              <w:top w:val="single" w:sz="4" w:space="0" w:color="auto"/>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2</w:t>
            </w:r>
          </w:p>
        </w:tc>
        <w:tc>
          <w:tcPr>
            <w:tcW w:w="469" w:type="pct"/>
            <w:vMerge w:val="restart"/>
            <w:tcBorders>
              <w:top w:val="single" w:sz="4" w:space="0" w:color="auto"/>
              <w:left w:val="single" w:sz="4" w:space="0" w:color="auto"/>
              <w:right w:val="single" w:sz="4" w:space="0" w:color="auto"/>
            </w:tcBorders>
            <w:vAlign w:val="center"/>
          </w:tcPr>
          <w:p w:rsidR="00985E49" w:rsidRPr="00985E49" w:rsidRDefault="00985E49" w:rsidP="00985E49">
            <w:pPr>
              <w:spacing w:after="0" w:line="240" w:lineRule="auto"/>
              <w:rPr>
                <w:rFonts w:ascii="Times New Roman" w:hAnsi="Times New Roman"/>
                <w:sz w:val="16"/>
                <w:szCs w:val="16"/>
              </w:rPr>
            </w:pPr>
          </w:p>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Дистальная бедренная часть</w:t>
            </w:r>
          </w:p>
        </w:tc>
        <w:tc>
          <w:tcPr>
            <w:tcW w:w="349" w:type="pct"/>
            <w:vMerge w:val="restart"/>
            <w:tcBorders>
              <w:top w:val="single" w:sz="4" w:space="0" w:color="auto"/>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32.50.22.110</w:t>
            </w:r>
          </w:p>
        </w:tc>
        <w:tc>
          <w:tcPr>
            <w:tcW w:w="743"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olor w:val="000000"/>
                <w:sz w:val="16"/>
                <w:szCs w:val="16"/>
                <w:lang w:eastAsia="ru-RU"/>
              </w:rPr>
              <w:t>Форма внешне повторяет форму нижней трети бедренной кости. До необходимой длины достраивается при помощи специальных модулей.</w:t>
            </w:r>
          </w:p>
        </w:tc>
        <w:tc>
          <w:tcPr>
            <w:tcW w:w="477"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соответствие</w:t>
            </w:r>
          </w:p>
        </w:tc>
        <w:tc>
          <w:tcPr>
            <w:tcW w:w="436"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val="restart"/>
            <w:tcBorders>
              <w:top w:val="single" w:sz="4" w:space="0" w:color="auto"/>
              <w:left w:val="single" w:sz="4" w:space="0" w:color="auto"/>
              <w:right w:val="single" w:sz="4" w:space="0" w:color="auto"/>
            </w:tcBorders>
            <w:vAlign w:val="center"/>
          </w:tcPr>
          <w:p w:rsidR="00985E49" w:rsidRPr="00985E49" w:rsidRDefault="00385C11" w:rsidP="00985E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05" w:type="pct"/>
            <w:vMerge w:val="restart"/>
            <w:tcBorders>
              <w:top w:val="single" w:sz="4" w:space="0" w:color="auto"/>
              <w:left w:val="single" w:sz="4" w:space="0" w:color="auto"/>
              <w:right w:val="single" w:sz="4" w:space="0" w:color="auto"/>
            </w:tcBorders>
            <w:vAlign w:val="center"/>
          </w:tcPr>
          <w:p w:rsidR="00985E49" w:rsidRPr="00985E49" w:rsidRDefault="00385C11" w:rsidP="00985E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49" w:type="pct"/>
            <w:vMerge w:val="restart"/>
            <w:tcBorders>
              <w:top w:val="single" w:sz="4" w:space="0" w:color="auto"/>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262" w:type="pct"/>
            <w:vMerge w:val="restart"/>
            <w:tcBorders>
              <w:top w:val="single" w:sz="4" w:space="0" w:color="auto"/>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218" w:type="pct"/>
            <w:vMerge w:val="restart"/>
            <w:tcBorders>
              <w:top w:val="single" w:sz="4" w:space="0" w:color="auto"/>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restart"/>
            <w:tcBorders>
              <w:top w:val="single" w:sz="4" w:space="0" w:color="auto"/>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Медиально-латеральный размер мыщелка</w:t>
            </w:r>
          </w:p>
        </w:tc>
        <w:tc>
          <w:tcPr>
            <w:tcW w:w="477"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 59</w:t>
            </w:r>
          </w:p>
        </w:tc>
        <w:tc>
          <w:tcPr>
            <w:tcW w:w="436"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Миллиметр</w:t>
            </w:r>
          </w:p>
        </w:tc>
        <w:tc>
          <w:tcPr>
            <w:tcW w:w="654"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0"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Сагиттальный размер мыщелка</w:t>
            </w:r>
          </w:p>
        </w:tc>
        <w:tc>
          <w:tcPr>
            <w:tcW w:w="477"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 45.5</w:t>
            </w:r>
          </w:p>
        </w:tc>
        <w:tc>
          <w:tcPr>
            <w:tcW w:w="436"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Миллиметр</w:t>
            </w:r>
          </w:p>
        </w:tc>
        <w:tc>
          <w:tcPr>
            <w:tcW w:w="654"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0"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Материал изготовления - сплав кобальт-хром-молибден (CoCrMo)</w:t>
            </w:r>
          </w:p>
        </w:tc>
        <w:tc>
          <w:tcPr>
            <w:tcW w:w="477"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соответствие</w:t>
            </w:r>
          </w:p>
        </w:tc>
        <w:tc>
          <w:tcPr>
            <w:tcW w:w="436"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olor w:val="000000"/>
                <w:sz w:val="16"/>
                <w:szCs w:val="16"/>
                <w:lang w:eastAsia="ru-RU"/>
              </w:rPr>
              <w:t>Для создания единой неразрывной конструкции имплант прикрепляется к проксимальным частям при помощи винтов диаметром</w:t>
            </w:r>
          </w:p>
        </w:tc>
        <w:tc>
          <w:tcPr>
            <w:tcW w:w="477"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 10</w:t>
            </w:r>
          </w:p>
        </w:tc>
        <w:tc>
          <w:tcPr>
            <w:tcW w:w="436"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Миллиметр</w:t>
            </w:r>
          </w:p>
        </w:tc>
        <w:tc>
          <w:tcPr>
            <w:tcW w:w="654"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0"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olor w:val="000000"/>
                <w:sz w:val="16"/>
                <w:szCs w:val="16"/>
                <w:lang w:eastAsia="ru-RU"/>
              </w:rPr>
              <w:t>На внешней поверхности замещающей части имеются поперечные кольца для закрепления реконструкционного материала</w:t>
            </w:r>
          </w:p>
        </w:tc>
        <w:tc>
          <w:tcPr>
            <w:tcW w:w="477"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соответствие</w:t>
            </w:r>
          </w:p>
        </w:tc>
        <w:tc>
          <w:tcPr>
            <w:tcW w:w="436"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left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Поставляется в стерильном виде, имеет индивидуальную упаковку</w:t>
            </w:r>
          </w:p>
        </w:tc>
        <w:tc>
          <w:tcPr>
            <w:tcW w:w="477"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соответствие</w:t>
            </w:r>
          </w:p>
        </w:tc>
        <w:tc>
          <w:tcPr>
            <w:tcW w:w="436"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left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r w:rsidR="00985E49" w:rsidRPr="00985E49" w:rsidTr="00985E49">
        <w:trPr>
          <w:trHeight w:val="402"/>
        </w:trPr>
        <w:tc>
          <w:tcPr>
            <w:tcW w:w="135" w:type="pct"/>
            <w:vMerge/>
            <w:tcBorders>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743"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Длина 90,0 мм и 110,0 мм.</w:t>
            </w:r>
          </w:p>
        </w:tc>
        <w:tc>
          <w:tcPr>
            <w:tcW w:w="477"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соответствие</w:t>
            </w:r>
          </w:p>
        </w:tc>
        <w:tc>
          <w:tcPr>
            <w:tcW w:w="436"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654" w:type="pct"/>
            <w:tcBorders>
              <w:top w:val="single" w:sz="4" w:space="0" w:color="auto"/>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jc w:val="center"/>
              <w:rPr>
                <w:rFonts w:ascii="Times New Roman" w:eastAsia="Times New Roman" w:hAnsi="Times New Roman" w:cs="Times New Roman"/>
                <w:color w:val="000000"/>
                <w:sz w:val="16"/>
                <w:szCs w:val="16"/>
                <w:lang w:eastAsia="ru-RU"/>
              </w:rPr>
            </w:pPr>
            <w:r w:rsidRPr="00985E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0" w:type="pct"/>
            <w:vMerge/>
            <w:tcBorders>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05" w:type="pct"/>
            <w:vMerge/>
            <w:tcBorders>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62" w:type="pct"/>
            <w:vMerge/>
            <w:tcBorders>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18" w:type="pct"/>
            <w:vMerge/>
            <w:tcBorders>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c>
          <w:tcPr>
            <w:tcW w:w="253" w:type="pct"/>
            <w:vMerge/>
            <w:tcBorders>
              <w:left w:val="single" w:sz="4" w:space="0" w:color="auto"/>
              <w:bottom w:val="single" w:sz="4" w:space="0" w:color="auto"/>
              <w:right w:val="single" w:sz="4" w:space="0" w:color="auto"/>
            </w:tcBorders>
            <w:vAlign w:val="center"/>
          </w:tcPr>
          <w:p w:rsidR="00985E49" w:rsidRPr="00985E49" w:rsidRDefault="00985E49" w:rsidP="00985E49">
            <w:pPr>
              <w:spacing w:after="0" w:line="240" w:lineRule="auto"/>
              <w:rPr>
                <w:rFonts w:ascii="Times New Roman" w:eastAsia="Times New Roman" w:hAnsi="Times New Roman" w:cs="Times New Roman"/>
                <w:color w:val="000000"/>
                <w:sz w:val="16"/>
                <w:szCs w:val="16"/>
                <w:lang w:eastAsia="ru-RU"/>
              </w:rPr>
            </w:pPr>
          </w:p>
        </w:tc>
      </w:tr>
    </w:tbl>
    <w:p w:rsidR="00985E49" w:rsidRPr="000437D6" w:rsidRDefault="00985E49" w:rsidP="00E52880">
      <w:pPr>
        <w:pStyle w:val="a7"/>
        <w:widowControl w:val="0"/>
        <w:spacing w:after="0"/>
        <w:ind w:left="644"/>
        <w:jc w:val="center"/>
        <w:rPr>
          <w:rFonts w:ascii="Times New Roman" w:eastAsia="Courier New" w:hAnsi="Times New Roman" w:cs="Times New Roman"/>
          <w:b/>
        </w:rPr>
      </w:pPr>
    </w:p>
    <w:p w:rsidR="00985E49" w:rsidRDefault="00985E49" w:rsidP="000820E3">
      <w:pPr>
        <w:rPr>
          <w:rFonts w:ascii="Times New Roman" w:hAnsi="Times New Roman" w:cs="Times New Roman"/>
          <w:b/>
          <w:sz w:val="28"/>
          <w:szCs w:val="28"/>
        </w:rPr>
      </w:pPr>
    </w:p>
    <w:p w:rsidR="00985E49" w:rsidRDefault="00985E49" w:rsidP="000820E3">
      <w:pPr>
        <w:rPr>
          <w:rFonts w:ascii="Times New Roman" w:hAnsi="Times New Roman" w:cs="Times New Roman"/>
          <w:b/>
          <w:sz w:val="28"/>
          <w:szCs w:val="28"/>
        </w:rPr>
        <w:sectPr w:rsidR="00985E49" w:rsidSect="00985E49">
          <w:headerReference w:type="first" r:id="rId18"/>
          <w:footerReference w:type="first" r:id="rId19"/>
          <w:pgSz w:w="16838" w:h="11906" w:orient="landscape"/>
          <w:pgMar w:top="1701" w:right="539" w:bottom="851" w:left="567" w:header="567" w:footer="567" w:gutter="0"/>
          <w:cols w:space="708"/>
          <w:titlePg/>
          <w:docGrid w:linePitch="360"/>
        </w:sectPr>
      </w:pPr>
    </w:p>
    <w:p w:rsidR="00170252" w:rsidRDefault="00170252" w:rsidP="000820E3">
      <w:pPr>
        <w:rPr>
          <w:rFonts w:ascii="Times New Roman" w:hAnsi="Times New Roman" w:cs="Times New Roman"/>
          <w:b/>
          <w:sz w:val="28"/>
          <w:szCs w:val="28"/>
        </w:rPr>
      </w:pPr>
    </w:p>
    <w:sectPr w:rsidR="00170252" w:rsidSect="004725AB">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63" w:rsidRDefault="009E0463">
      <w:pPr>
        <w:spacing w:after="0" w:line="240" w:lineRule="auto"/>
      </w:pPr>
      <w:r>
        <w:separator/>
      </w:r>
    </w:p>
  </w:endnote>
  <w:endnote w:type="continuationSeparator" w:id="0">
    <w:p w:rsidR="009E0463" w:rsidRDefault="009E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161C" w:rsidRDefault="00E9161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9161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9161C">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9161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9161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9161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85C11">
          <w:rPr>
            <w:noProof/>
          </w:rPr>
          <w:t>6</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63" w:rsidRDefault="009E0463">
      <w:pPr>
        <w:spacing w:after="0" w:line="240" w:lineRule="auto"/>
      </w:pPr>
      <w:r>
        <w:separator/>
      </w:r>
    </w:p>
  </w:footnote>
  <w:footnote w:type="continuationSeparator" w:id="0">
    <w:p w:rsidR="009E0463" w:rsidRDefault="009E046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161C" w:rsidRDefault="00E9161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161C" w:rsidRDefault="00E9161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161C" w:rsidRDefault="00E9161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85C11"/>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67CD5"/>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85E49"/>
    <w:rsid w:val="00991266"/>
    <w:rsid w:val="009938B0"/>
    <w:rsid w:val="009A0334"/>
    <w:rsid w:val="009A2C92"/>
    <w:rsid w:val="009B40C9"/>
    <w:rsid w:val="009D1527"/>
    <w:rsid w:val="009D408E"/>
    <w:rsid w:val="009E0463"/>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161C"/>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99F64-E351-4CA8-9838-CB362E6E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2025-04-21T10:57:00Z</dcterms:created>
  <dcterms:modified xsi:type="dcterms:W3CDTF">2025-04-21T10:57:00Z</dcterms:modified>
</cp:coreProperties>
</file>