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95B4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B657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B657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B6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11" w:type="pct"/>
        <w:tblInd w:w="-34" w:type="dxa"/>
        <w:tblLayout w:type="fixed"/>
        <w:tblLook w:val="04A0" w:firstRow="1" w:lastRow="0" w:firstColumn="1" w:lastColumn="0" w:noHBand="0" w:noVBand="1"/>
      </w:tblPr>
      <w:tblGrid>
        <w:gridCol w:w="417"/>
        <w:gridCol w:w="1426"/>
        <w:gridCol w:w="1135"/>
        <w:gridCol w:w="1416"/>
        <w:gridCol w:w="2835"/>
        <w:gridCol w:w="994"/>
        <w:gridCol w:w="1844"/>
        <w:gridCol w:w="1275"/>
        <w:gridCol w:w="991"/>
        <w:gridCol w:w="1135"/>
        <w:gridCol w:w="850"/>
        <w:gridCol w:w="850"/>
        <w:gridCol w:w="815"/>
      </w:tblGrid>
      <w:tr w:rsidR="00FB657D" w:rsidTr="005719D5">
        <w:trPr>
          <w:trHeight w:val="300"/>
        </w:trPr>
        <w:tc>
          <w:tcPr>
            <w:tcW w:w="130" w:type="pct"/>
            <w:vMerge w:val="restart"/>
            <w:tcBorders>
              <w:top w:val="single" w:sz="6" w:space="0" w:color="000000"/>
              <w:left w:val="single" w:sz="6" w:space="0" w:color="000000"/>
              <w:bottom w:val="single" w:sz="6" w:space="0" w:color="000000"/>
              <w:right w:val="single" w:sz="6"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 п/п</w:t>
            </w:r>
          </w:p>
        </w:tc>
        <w:tc>
          <w:tcPr>
            <w:tcW w:w="446" w:type="pct"/>
            <w:vMerge w:val="restart"/>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Наименование товара, работы, услуги</w:t>
            </w:r>
          </w:p>
        </w:tc>
        <w:tc>
          <w:tcPr>
            <w:tcW w:w="355" w:type="pct"/>
            <w:vMerge w:val="restart"/>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Код позиции</w:t>
            </w:r>
          </w:p>
        </w:tc>
        <w:tc>
          <w:tcPr>
            <w:tcW w:w="2218" w:type="pct"/>
            <w:gridSpan w:val="4"/>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Характеристики товара, работы, услуги</w:t>
            </w:r>
          </w:p>
        </w:tc>
        <w:tc>
          <w:tcPr>
            <w:tcW w:w="399" w:type="pct"/>
            <w:vMerge w:val="restart"/>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Количество</w:t>
            </w:r>
          </w:p>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(объем работы, услуги)</w:t>
            </w:r>
          </w:p>
        </w:tc>
        <w:tc>
          <w:tcPr>
            <w:tcW w:w="310" w:type="pct"/>
            <w:vMerge w:val="restart"/>
            <w:tcBorders>
              <w:top w:val="single" w:sz="8" w:space="0" w:color="000000"/>
              <w:left w:val="single" w:sz="8" w:space="0" w:color="000000"/>
              <w:bottom w:val="single" w:sz="8" w:space="0" w:color="000000"/>
              <w:right w:val="nil"/>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Единица измерения</w:t>
            </w:r>
          </w:p>
        </w:tc>
        <w:tc>
          <w:tcPr>
            <w:tcW w:w="355" w:type="pct"/>
            <w:vMerge w:val="restart"/>
            <w:tcBorders>
              <w:top w:val="single" w:sz="4" w:space="0" w:color="auto"/>
              <w:left w:val="single" w:sz="4" w:space="0" w:color="auto"/>
              <w:bottom w:val="single" w:sz="4" w:space="0" w:color="000000"/>
              <w:right w:val="single" w:sz="4" w:space="0" w:color="auto"/>
            </w:tcBorders>
            <w:noWrap/>
            <w:vAlign w:val="center"/>
            <w:hideMark/>
          </w:tcPr>
          <w:p w:rsidR="00FB657D" w:rsidRDefault="00FB657D" w:rsidP="00FB657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bottom w:val="single" w:sz="4" w:space="0" w:color="000000"/>
              <w:right w:val="single" w:sz="4" w:space="0" w:color="auto"/>
            </w:tcBorders>
            <w:noWrap/>
            <w:vAlign w:val="center"/>
          </w:tcPr>
          <w:p w:rsidR="00FB657D" w:rsidRDefault="00FB657D" w:rsidP="00FB657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Ставка НДС%</w:t>
            </w:r>
          </w:p>
          <w:p w:rsidR="00FB657D" w:rsidRDefault="00FB657D" w:rsidP="00FB657D">
            <w:pPr>
              <w:spacing w:after="0" w:line="240" w:lineRule="auto"/>
              <w:jc w:val="center"/>
              <w:rPr>
                <w:rFonts w:ascii="Times New Roman" w:eastAsia="Times New Roman" w:hAnsi="Times New Roman" w:cs="Times New Roman"/>
                <w:b/>
                <w:color w:val="000000"/>
                <w:sz w:val="16"/>
                <w:szCs w:val="16"/>
                <w:lang w:eastAsia="ru-RU"/>
              </w:rPr>
            </w:pPr>
          </w:p>
        </w:tc>
        <w:tc>
          <w:tcPr>
            <w:tcW w:w="266" w:type="pct"/>
            <w:vMerge w:val="restart"/>
            <w:tcBorders>
              <w:top w:val="single" w:sz="4" w:space="0" w:color="auto"/>
              <w:left w:val="single" w:sz="4" w:space="0" w:color="auto"/>
              <w:bottom w:val="single" w:sz="4" w:space="0" w:color="000000"/>
              <w:right w:val="single" w:sz="4" w:space="0" w:color="auto"/>
            </w:tcBorders>
            <w:noWrap/>
            <w:vAlign w:val="center"/>
            <w:hideMark/>
          </w:tcPr>
          <w:p w:rsidR="00FB657D" w:rsidRDefault="00FB657D" w:rsidP="00FB657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без НДС</w:t>
            </w:r>
          </w:p>
        </w:tc>
        <w:tc>
          <w:tcPr>
            <w:tcW w:w="255" w:type="pct"/>
            <w:vMerge w:val="restart"/>
            <w:tcBorders>
              <w:top w:val="single" w:sz="4" w:space="0" w:color="auto"/>
              <w:left w:val="single" w:sz="4" w:space="0" w:color="auto"/>
              <w:bottom w:val="single" w:sz="4" w:space="0" w:color="000000"/>
              <w:right w:val="single" w:sz="4" w:space="0" w:color="auto"/>
            </w:tcBorders>
            <w:noWrap/>
            <w:vAlign w:val="center"/>
            <w:hideMark/>
          </w:tcPr>
          <w:p w:rsidR="00FB657D" w:rsidRDefault="00FB657D" w:rsidP="00FB657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Сумма без НДС</w:t>
            </w:r>
          </w:p>
        </w:tc>
      </w:tr>
      <w:tr w:rsidR="00FB657D" w:rsidTr="005719D5">
        <w:trPr>
          <w:trHeight w:val="30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rsidR="00FB657D" w:rsidRDefault="00FB657D">
            <w:pPr>
              <w:spacing w:after="0"/>
              <w:rPr>
                <w:rFonts w:ascii="Times New Roman" w:eastAsia="Times New Roman" w:hAnsi="Times New Roman" w:cs="Times New Roman"/>
                <w:b/>
                <w:bCs/>
                <w:color w:val="000000"/>
                <w:sz w:val="16"/>
                <w:szCs w:val="16"/>
                <w:lang w:eastAsia="ru-RU"/>
              </w:rPr>
            </w:pPr>
          </w:p>
        </w:tc>
        <w:tc>
          <w:tcPr>
            <w:tcW w:w="446" w:type="pct"/>
            <w:vMerge/>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b/>
                <w:bCs/>
                <w:color w:val="000000"/>
                <w:sz w:val="16"/>
                <w:szCs w:val="16"/>
                <w:lang w:eastAsia="ru-RU"/>
              </w:rPr>
            </w:pP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b/>
                <w:bCs/>
                <w:color w:val="000000"/>
                <w:sz w:val="16"/>
                <w:szCs w:val="16"/>
                <w:lang w:eastAsia="ru-RU"/>
              </w:rPr>
            </w:pPr>
          </w:p>
        </w:tc>
        <w:tc>
          <w:tcPr>
            <w:tcW w:w="443" w:type="pct"/>
            <w:tcBorders>
              <w:top w:val="nil"/>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Наименование характеристики</w:t>
            </w:r>
          </w:p>
        </w:tc>
        <w:tc>
          <w:tcPr>
            <w:tcW w:w="887" w:type="pct"/>
            <w:tcBorders>
              <w:top w:val="nil"/>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Значение характеристики</w:t>
            </w:r>
          </w:p>
        </w:tc>
        <w:tc>
          <w:tcPr>
            <w:tcW w:w="311" w:type="pct"/>
            <w:tcBorders>
              <w:top w:val="nil"/>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Единица измерения характеристики</w:t>
            </w:r>
          </w:p>
        </w:tc>
        <w:tc>
          <w:tcPr>
            <w:tcW w:w="577" w:type="pct"/>
            <w:tcBorders>
              <w:top w:val="nil"/>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99" w:type="pct"/>
            <w:vMerge/>
            <w:tcBorders>
              <w:top w:val="single" w:sz="8" w:space="0" w:color="000000"/>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b/>
                <w:bCs/>
                <w:color w:val="000000"/>
                <w:sz w:val="16"/>
                <w:szCs w:val="16"/>
                <w:lang w:eastAsia="ru-RU"/>
              </w:rPr>
            </w:pPr>
          </w:p>
        </w:tc>
        <w:tc>
          <w:tcPr>
            <w:tcW w:w="310" w:type="pct"/>
            <w:vMerge/>
            <w:tcBorders>
              <w:top w:val="single" w:sz="8" w:space="0" w:color="000000"/>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b/>
                <w:bCs/>
                <w:color w:val="000000"/>
                <w:sz w:val="16"/>
                <w:szCs w:val="16"/>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FB657D" w:rsidRDefault="00FB657D" w:rsidP="00FB657D">
            <w:pPr>
              <w:spacing w:after="0"/>
              <w:jc w:val="center"/>
              <w:rPr>
                <w:rFonts w:ascii="Times New Roman" w:eastAsia="Times New Roman" w:hAnsi="Times New Roman" w:cs="Times New Roman"/>
                <w:b/>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FB657D" w:rsidRDefault="00FB657D" w:rsidP="00FB657D">
            <w:pPr>
              <w:spacing w:after="0"/>
              <w:jc w:val="center"/>
              <w:rPr>
                <w:rFonts w:ascii="Times New Roman" w:eastAsia="Times New Roman" w:hAnsi="Times New Roman" w:cs="Times New Roman"/>
                <w:b/>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FB657D" w:rsidRDefault="00FB657D" w:rsidP="00FB657D">
            <w:pPr>
              <w:spacing w:after="0"/>
              <w:jc w:val="center"/>
              <w:rPr>
                <w:rFonts w:ascii="Times New Roman" w:eastAsia="Times New Roman" w:hAnsi="Times New Roman" w:cs="Times New Roman"/>
                <w:b/>
                <w:color w:val="000000"/>
                <w:sz w:val="16"/>
                <w:szCs w:val="16"/>
                <w:lang w:eastAsia="ru-RU"/>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rsidR="00FB657D" w:rsidRDefault="00FB657D" w:rsidP="00FB657D">
            <w:pPr>
              <w:spacing w:after="0"/>
              <w:jc w:val="center"/>
              <w:rPr>
                <w:rFonts w:ascii="Times New Roman" w:eastAsia="Times New Roman" w:hAnsi="Times New Roman" w:cs="Times New Roman"/>
                <w:b/>
                <w:color w:val="000000"/>
                <w:sz w:val="16"/>
                <w:szCs w:val="16"/>
                <w:lang w:eastAsia="ru-RU"/>
              </w:rPr>
            </w:pPr>
          </w:p>
        </w:tc>
      </w:tr>
      <w:tr w:rsidR="005719D5" w:rsidTr="005719D5">
        <w:trPr>
          <w:trHeight w:val="326"/>
        </w:trPr>
        <w:tc>
          <w:tcPr>
            <w:tcW w:w="130" w:type="pct"/>
            <w:vMerge w:val="restart"/>
            <w:tcBorders>
              <w:top w:val="nil"/>
              <w:left w:val="single" w:sz="8" w:space="0" w:color="000000"/>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446" w:type="pct"/>
            <w:vMerge w:val="restart"/>
            <w:tcBorders>
              <w:top w:val="nil"/>
              <w:left w:val="single" w:sz="8" w:space="0" w:color="000000"/>
              <w:bottom w:val="single" w:sz="8" w:space="0" w:color="000000"/>
              <w:right w:val="single" w:sz="8" w:space="0" w:color="000000"/>
            </w:tcBorders>
            <w:hideMark/>
          </w:tcPr>
          <w:p w:rsidR="00FB657D" w:rsidRDefault="00FB65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Стержень для плечевой кости в комплекте с набором винтов</w:t>
            </w:r>
          </w:p>
        </w:tc>
        <w:tc>
          <w:tcPr>
            <w:tcW w:w="355" w:type="pct"/>
            <w:vMerge w:val="restart"/>
            <w:tcBorders>
              <w:top w:val="nil"/>
              <w:left w:val="single" w:sz="8" w:space="0" w:color="000000"/>
              <w:bottom w:val="single" w:sz="8" w:space="0" w:color="000000"/>
              <w:right w:val="single" w:sz="8" w:space="0" w:color="000000"/>
            </w:tcBorders>
            <w:hideMark/>
          </w:tcPr>
          <w:p w:rsidR="00FB657D" w:rsidRDefault="00FB657D">
            <w:pPr>
              <w:spacing w:after="0" w:line="240" w:lineRule="auto"/>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32.50.22.127</w:t>
            </w:r>
          </w:p>
        </w:tc>
        <w:tc>
          <w:tcPr>
            <w:tcW w:w="443" w:type="pct"/>
            <w:tcBorders>
              <w:top w:val="nil"/>
              <w:left w:val="nil"/>
              <w:bottom w:val="single" w:sz="4" w:space="0" w:color="auto"/>
              <w:right w:val="single" w:sz="8" w:space="0" w:color="000000"/>
            </w:tcBorders>
            <w:vAlign w:val="center"/>
            <w:hideMark/>
          </w:tcPr>
          <w:p w:rsidR="00FB657D" w:rsidRDefault="00FB657D">
            <w:pPr>
              <w:pStyle w:val="af7"/>
              <w:spacing w:line="276" w:lineRule="auto"/>
              <w:rPr>
                <w:rFonts w:ascii="Times New Roman" w:hAnsi="Times New Roman"/>
                <w:sz w:val="16"/>
                <w:szCs w:val="16"/>
                <w:lang w:eastAsia="en-US"/>
              </w:rPr>
            </w:pPr>
            <w:r>
              <w:rPr>
                <w:rFonts w:ascii="Times New Roman" w:hAnsi="Times New Roman"/>
                <w:sz w:val="16"/>
                <w:szCs w:val="16"/>
                <w:lang w:eastAsia="en-US"/>
              </w:rPr>
              <w:t>Назначение</w:t>
            </w:r>
          </w:p>
        </w:tc>
        <w:tc>
          <w:tcPr>
            <w:tcW w:w="887" w:type="pct"/>
            <w:tcBorders>
              <w:top w:val="nil"/>
              <w:left w:val="nil"/>
              <w:bottom w:val="single" w:sz="4" w:space="0" w:color="auto"/>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Нестерильный стержень из металла или другого материала, который вставляется в интрамедуллярный канал плечевой кости для иммобилизации отломков в положении, способствующем их срастанию. Данное изделие также может быть использовано для укрепления кости в случае различных патологических состояний. Изделие может быть блокируемым или не иметь блокировки, а также может комплектоваться компонентами, предназначенными для фиксации более проксимальных или дистальных участков кости. Это изделие одноразового использования, которое необходимо стерилизовать перед применением</w:t>
            </w:r>
          </w:p>
        </w:tc>
        <w:tc>
          <w:tcPr>
            <w:tcW w:w="311" w:type="pct"/>
            <w:tcBorders>
              <w:top w:val="nil"/>
              <w:left w:val="nil"/>
              <w:bottom w:val="single" w:sz="4" w:space="0" w:color="auto"/>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nil"/>
              <w:left w:val="nil"/>
              <w:bottom w:val="single" w:sz="4" w:space="0" w:color="auto"/>
              <w:right w:val="single" w:sz="8" w:space="0" w:color="auto"/>
            </w:tcBorders>
            <w:hideMark/>
          </w:tcPr>
          <w:p w:rsidR="00FB657D" w:rsidRDefault="00FB657D">
            <w:pPr>
              <w:spacing w:after="0"/>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val="restart"/>
            <w:tcBorders>
              <w:top w:val="nil"/>
              <w:left w:val="single" w:sz="8" w:space="0" w:color="auto"/>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0" w:type="pct"/>
            <w:vMerge w:val="restart"/>
            <w:tcBorders>
              <w:top w:val="nil"/>
              <w:left w:val="single" w:sz="8" w:space="0" w:color="000000"/>
              <w:bottom w:val="single" w:sz="8" w:space="0" w:color="000000"/>
              <w:right w:val="nil"/>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355" w:type="pct"/>
            <w:vMerge w:val="restart"/>
            <w:tcBorders>
              <w:top w:val="nil"/>
              <w:left w:val="single" w:sz="4" w:space="0" w:color="auto"/>
              <w:bottom w:val="single" w:sz="4" w:space="0" w:color="000000"/>
              <w:right w:val="single" w:sz="4" w:space="0" w:color="auto"/>
            </w:tcBorders>
            <w:noWrap/>
          </w:tcPr>
          <w:p w:rsidR="00FB657D" w:rsidRDefault="00FB657D">
            <w:pPr>
              <w:spacing w:after="0" w:line="240" w:lineRule="auto"/>
              <w:rPr>
                <w:rFonts w:ascii="Times New Roman" w:eastAsia="Times New Roman" w:hAnsi="Times New Roman" w:cs="Times New Roman"/>
                <w:color w:val="000000"/>
                <w:sz w:val="16"/>
                <w:szCs w:val="16"/>
                <w:lang w:eastAsia="ru-RU"/>
              </w:rPr>
            </w:pPr>
          </w:p>
        </w:tc>
        <w:tc>
          <w:tcPr>
            <w:tcW w:w="266" w:type="pct"/>
            <w:vMerge w:val="restart"/>
            <w:tcBorders>
              <w:top w:val="nil"/>
              <w:left w:val="single" w:sz="4" w:space="0" w:color="auto"/>
              <w:bottom w:val="single" w:sz="4" w:space="0" w:color="000000"/>
              <w:right w:val="single" w:sz="4" w:space="0" w:color="auto"/>
            </w:tcBorders>
            <w:noWrap/>
          </w:tcPr>
          <w:p w:rsidR="00FB657D" w:rsidRDefault="00FB657D">
            <w:pPr>
              <w:spacing w:after="0" w:line="240" w:lineRule="auto"/>
              <w:rPr>
                <w:rFonts w:ascii="Times New Roman" w:eastAsia="Times New Roman" w:hAnsi="Times New Roman" w:cs="Times New Roman"/>
                <w:color w:val="000000"/>
                <w:sz w:val="16"/>
                <w:szCs w:val="16"/>
                <w:lang w:eastAsia="ru-RU"/>
              </w:rPr>
            </w:pPr>
          </w:p>
        </w:tc>
        <w:tc>
          <w:tcPr>
            <w:tcW w:w="266" w:type="pct"/>
            <w:vMerge w:val="restart"/>
            <w:tcBorders>
              <w:top w:val="nil"/>
              <w:left w:val="single" w:sz="4" w:space="0" w:color="auto"/>
              <w:bottom w:val="single" w:sz="4" w:space="0" w:color="000000"/>
              <w:right w:val="single" w:sz="4" w:space="0" w:color="auto"/>
            </w:tcBorders>
            <w:noWrap/>
          </w:tcPr>
          <w:p w:rsidR="00FB657D" w:rsidRDefault="00FB657D">
            <w:pPr>
              <w:spacing w:after="0" w:line="240" w:lineRule="auto"/>
              <w:rPr>
                <w:rFonts w:ascii="Times New Roman" w:eastAsia="Times New Roman" w:hAnsi="Times New Roman" w:cs="Times New Roman"/>
                <w:color w:val="000000"/>
                <w:sz w:val="16"/>
                <w:szCs w:val="16"/>
                <w:lang w:eastAsia="ru-RU"/>
              </w:rPr>
            </w:pPr>
          </w:p>
        </w:tc>
        <w:tc>
          <w:tcPr>
            <w:tcW w:w="255" w:type="pct"/>
            <w:vMerge w:val="restart"/>
            <w:tcBorders>
              <w:top w:val="nil"/>
              <w:left w:val="single" w:sz="4" w:space="0" w:color="auto"/>
              <w:bottom w:val="single" w:sz="4" w:space="0" w:color="000000"/>
              <w:right w:val="single" w:sz="4" w:space="0" w:color="auto"/>
            </w:tcBorders>
            <w:noWrap/>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r>
      <w:tr w:rsidR="00FB657D" w:rsidTr="005719D5">
        <w:trPr>
          <w:trHeight w:val="326"/>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nil"/>
              <w:left w:val="nil"/>
              <w:bottom w:val="single" w:sz="4" w:space="0" w:color="auto"/>
              <w:right w:val="single" w:sz="8" w:space="0" w:color="000000"/>
            </w:tcBorders>
            <w:vAlign w:val="center"/>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Описание</w:t>
            </w:r>
          </w:p>
        </w:tc>
        <w:tc>
          <w:tcPr>
            <w:tcW w:w="887" w:type="pct"/>
            <w:tcBorders>
              <w:top w:val="nil"/>
              <w:left w:val="nil"/>
              <w:bottom w:val="single" w:sz="4" w:space="0" w:color="auto"/>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Пригоден для лечения плечевой кости. Универсальный  для правой и левой  конечности;  канюлированный,  дистальный конец  срублен (для возможности введения по направляющему стержню и использования техники рассверливания канала); с гладкой поверхностью.</w:t>
            </w:r>
          </w:p>
        </w:tc>
        <w:tc>
          <w:tcPr>
            <w:tcW w:w="311" w:type="pct"/>
            <w:tcBorders>
              <w:top w:val="nil"/>
              <w:left w:val="nil"/>
              <w:bottom w:val="single" w:sz="4" w:space="0" w:color="auto"/>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nil"/>
              <w:left w:val="nil"/>
              <w:bottom w:val="single" w:sz="4" w:space="0" w:color="auto"/>
              <w:right w:val="single" w:sz="8" w:space="0" w:color="auto"/>
            </w:tcBorders>
            <w:hideMark/>
          </w:tcPr>
          <w:p w:rsidR="00FB657D" w:rsidRDefault="00FB657D">
            <w:pPr>
              <w:spacing w:after="0"/>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vAlign w:val="center"/>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Варианты диаметра</w:t>
            </w:r>
          </w:p>
        </w:tc>
        <w:tc>
          <w:tcPr>
            <w:tcW w:w="887" w:type="pct"/>
            <w:tcBorders>
              <w:top w:val="single" w:sz="4" w:space="0" w:color="auto"/>
              <w:left w:val="nil"/>
              <w:bottom w:val="single" w:sz="8" w:space="0" w:color="000000"/>
              <w:right w:val="single" w:sz="8" w:space="0" w:color="000000"/>
            </w:tcBorders>
            <w:vAlign w:val="center"/>
            <w:hideMark/>
          </w:tcPr>
          <w:p w:rsidR="00FB657D" w:rsidRDefault="00FB657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7, 8, 9</w:t>
            </w:r>
          </w:p>
        </w:tc>
        <w:tc>
          <w:tcPr>
            <w:tcW w:w="311" w:type="pct"/>
            <w:tcBorders>
              <w:top w:val="single" w:sz="4" w:space="0" w:color="auto"/>
              <w:left w:val="nil"/>
              <w:bottom w:val="single" w:sz="8" w:space="0" w:color="000000"/>
              <w:right w:val="single" w:sz="8" w:space="0" w:color="000000"/>
            </w:tcBorders>
            <w:vAlign w:val="center"/>
            <w:hideMark/>
          </w:tcPr>
          <w:p w:rsidR="00FB657D" w:rsidRDefault="00FB657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4" w:space="0" w:color="auto"/>
              <w:left w:val="nil"/>
              <w:bottom w:val="single" w:sz="8" w:space="0" w:color="000000"/>
              <w:right w:val="single" w:sz="8" w:space="0" w:color="auto"/>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vAlign w:val="center"/>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Диапазон длины</w:t>
            </w:r>
          </w:p>
        </w:tc>
        <w:tc>
          <w:tcPr>
            <w:tcW w:w="887" w:type="pct"/>
            <w:tcBorders>
              <w:top w:val="single" w:sz="4" w:space="0" w:color="auto"/>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180 до 320 с шагом 20 мм</w:t>
            </w:r>
          </w:p>
        </w:tc>
        <w:tc>
          <w:tcPr>
            <w:tcW w:w="311" w:type="pct"/>
            <w:tcBorders>
              <w:top w:val="single" w:sz="4" w:space="0" w:color="auto"/>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4" w:space="0" w:color="auto"/>
              <w:left w:val="nil"/>
              <w:bottom w:val="single" w:sz="8" w:space="0" w:color="000000"/>
              <w:right w:val="single" w:sz="8" w:space="0" w:color="auto"/>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vAlign w:val="center"/>
            <w:hideMark/>
          </w:tcPr>
          <w:p w:rsidR="00FB657D" w:rsidRDefault="00FB657D">
            <w:pPr>
              <w:pStyle w:val="af7"/>
              <w:spacing w:line="276" w:lineRule="auto"/>
              <w:rPr>
                <w:rFonts w:ascii="Times New Roman" w:hAnsi="Times New Roman"/>
                <w:sz w:val="16"/>
                <w:szCs w:val="16"/>
                <w:lang w:eastAsia="en-US"/>
              </w:rPr>
            </w:pPr>
            <w:r>
              <w:rPr>
                <w:rFonts w:ascii="Times New Roman" w:hAnsi="Times New Roman"/>
                <w:sz w:val="16"/>
                <w:szCs w:val="16"/>
                <w:lang w:eastAsia="en-US"/>
              </w:rPr>
              <w:t>Фиксация</w:t>
            </w:r>
          </w:p>
        </w:tc>
        <w:tc>
          <w:tcPr>
            <w:tcW w:w="887" w:type="pct"/>
            <w:tcBorders>
              <w:top w:val="single" w:sz="4" w:space="0" w:color="auto"/>
              <w:left w:val="nil"/>
              <w:bottom w:val="single" w:sz="8" w:space="0" w:color="000000"/>
              <w:right w:val="single" w:sz="8" w:space="0" w:color="000000"/>
            </w:tcBorders>
            <w:vAlign w:val="center"/>
            <w:hideMark/>
          </w:tcPr>
          <w:p w:rsidR="00FB657D" w:rsidRDefault="00FB657D">
            <w:pPr>
              <w:pStyle w:val="af7"/>
              <w:spacing w:line="276" w:lineRule="auto"/>
              <w:jc w:val="center"/>
              <w:rPr>
                <w:rFonts w:ascii="Times New Roman" w:hAnsi="Times New Roman"/>
                <w:color w:val="000000"/>
                <w:sz w:val="16"/>
                <w:szCs w:val="16"/>
                <w:lang w:eastAsia="en-US"/>
              </w:rPr>
            </w:pPr>
            <w:r>
              <w:rPr>
                <w:rFonts w:ascii="Times New Roman" w:hAnsi="Times New Roman"/>
                <w:color w:val="000000"/>
                <w:sz w:val="16"/>
                <w:szCs w:val="16"/>
                <w:lang w:eastAsia="en-US"/>
              </w:rPr>
              <w:t>Для фиксации стержня диаметром 7 мм в проксимальной области должно быть 6 отверстий в одной плоскости под блокирующие винты диаметром 4 мм, 4,5 мм.  Одно отверстие из них – для осуществления компрессии.   Для фиксации стержней диаметром 8мм и 9 мм в проксимальной области должно быть 5 отверстий в одной плоскости с нарезкой резьбы под блокирующие винты диаметром 4 мм, 4,5 мм и 1 отверстие для осуществления компрессии. Для фиксации стержня диаметром 7 мм в дистальной области должно быть 4 отверстия, по 2 в разных плоскостях, под блокирующие винты диаметром 3мм. Для фиксации стержней диаметром 8 мм, 9 мм в дистальной области должно быть 4 отверстия с нарезкой резьбы, по 2 в разных плоскостях, под блокирующие винты диаметром 4 мм, 4,5 мм. В качестве заглушки должен быть предусмотрен винт слепой или компрессионный  для плечевой кости  (для обеспечения надежной фиксации).</w:t>
            </w:r>
          </w:p>
        </w:tc>
        <w:tc>
          <w:tcPr>
            <w:tcW w:w="311" w:type="pct"/>
            <w:tcBorders>
              <w:top w:val="single" w:sz="4" w:space="0" w:color="auto"/>
              <w:left w:val="nil"/>
              <w:bottom w:val="single" w:sz="8" w:space="0" w:color="000000"/>
              <w:right w:val="single" w:sz="8" w:space="0" w:color="000000"/>
            </w:tcBorders>
            <w:vAlign w:val="center"/>
          </w:tcPr>
          <w:p w:rsidR="00FB657D" w:rsidRDefault="00FB657D">
            <w:pPr>
              <w:pStyle w:val="af7"/>
              <w:spacing w:line="276" w:lineRule="auto"/>
              <w:jc w:val="center"/>
              <w:rPr>
                <w:rFonts w:ascii="Times New Roman" w:hAnsi="Times New Roman"/>
                <w:sz w:val="16"/>
                <w:szCs w:val="16"/>
                <w:lang w:eastAsia="en-US"/>
              </w:rPr>
            </w:pPr>
          </w:p>
        </w:tc>
        <w:tc>
          <w:tcPr>
            <w:tcW w:w="577" w:type="pct"/>
            <w:tcBorders>
              <w:top w:val="single" w:sz="4" w:space="0" w:color="auto"/>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nil"/>
              <w:left w:val="nil"/>
              <w:bottom w:val="single" w:sz="8" w:space="0" w:color="000000"/>
              <w:right w:val="single" w:sz="8" w:space="0" w:color="000000"/>
            </w:tcBorders>
            <w:vAlign w:val="center"/>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nil"/>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 для лучшей биосовместимости с костной тканью (биоинертный материал).</w:t>
            </w:r>
          </w:p>
        </w:tc>
        <w:tc>
          <w:tcPr>
            <w:tcW w:w="311" w:type="pct"/>
            <w:tcBorders>
              <w:top w:val="nil"/>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nil"/>
              <w:left w:val="nil"/>
              <w:bottom w:val="single" w:sz="8" w:space="0" w:color="000000"/>
              <w:right w:val="single" w:sz="8" w:space="0" w:color="auto"/>
            </w:tcBorders>
            <w:hideMark/>
          </w:tcPr>
          <w:p w:rsidR="00FB657D" w:rsidRDefault="00FB657D">
            <w:pPr>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vAlign w:val="center"/>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Комплектация</w:t>
            </w:r>
          </w:p>
        </w:tc>
        <w:tc>
          <w:tcPr>
            <w:tcW w:w="887"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набор входит: винт костный блокирующий Ø4,0 мм, винт костный блокирующий Ø4,5 мм, винт слепой для плечевой кости</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both"/>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vAlign w:val="center"/>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костный блокирующий Ø4,0</w:t>
            </w:r>
          </w:p>
        </w:tc>
        <w:tc>
          <w:tcPr>
            <w:tcW w:w="887"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both"/>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FB657D" w:rsidRDefault="00FB657D">
            <w:pPr>
              <w:jc w:val="center"/>
              <w:rPr>
                <w:rFonts w:ascii="Times New Roman" w:eastAsia="Times New Roman" w:hAnsi="Times New Roman" w:cs="Times New Roman"/>
                <w:color w:val="000000"/>
                <w:sz w:val="16"/>
                <w:szCs w:val="16"/>
                <w:lang w:eastAsia="ru-RU"/>
              </w:rPr>
            </w:pP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vAlign w:val="center"/>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4,0</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16 до 90. Шаг в диапазоне длин от 25 до 80  - 5 мм;</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Т25</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костный блокирующий Ø4,5 мм</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4,5</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16 до 90. Шаг в диапазоне длин от 25 до 80  - 5мм</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Т25</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слепой для плечевой кости</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функционально используется как слепой в качестве заглушки стержня.</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типоразмеры</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типоразмерах, с высотой головки в диапазоне от 0 до 5мм с шагом 2,5мм</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Т25</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1</w:t>
            </w:r>
          </w:p>
        </w:tc>
        <w:tc>
          <w:tcPr>
            <w:tcW w:w="311" w:type="pct"/>
            <w:tcBorders>
              <w:top w:val="single" w:sz="8" w:space="0" w:color="000000"/>
              <w:left w:val="nil"/>
              <w:bottom w:val="single" w:sz="8" w:space="0" w:color="000000"/>
              <w:right w:val="single" w:sz="8" w:space="0" w:color="000000"/>
            </w:tcBorders>
            <w:vAlign w:val="center"/>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nil"/>
              <w:left w:val="single" w:sz="8" w:space="0" w:color="000000"/>
              <w:bottom w:val="single" w:sz="8" w:space="0" w:color="000000"/>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vAlign w:val="center"/>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nil"/>
              <w:left w:val="single" w:sz="8" w:space="0" w:color="auto"/>
              <w:bottom w:val="single" w:sz="8" w:space="0" w:color="000000"/>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r>
      <w:tr w:rsidR="005719D5" w:rsidTr="005719D5">
        <w:trPr>
          <w:trHeight w:val="300"/>
        </w:trPr>
        <w:tc>
          <w:tcPr>
            <w:tcW w:w="130"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D1225D">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446"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D1225D">
            <w:pPr>
              <w:spacing w:after="0"/>
              <w:jc w:val="center"/>
              <w:rPr>
                <w:rFonts w:ascii="Times New Roman" w:hAnsi="Times New Roman" w:cs="Times New Roman"/>
                <w:sz w:val="16"/>
                <w:szCs w:val="16"/>
              </w:rPr>
            </w:pPr>
            <w:r>
              <w:rPr>
                <w:rFonts w:ascii="Times New Roman" w:hAnsi="Times New Roman" w:cs="Times New Roman"/>
                <w:sz w:val="16"/>
                <w:szCs w:val="16"/>
              </w:rPr>
              <w:t>Стержень интрамедуллярный бедренный в комплекте с набором винтов</w:t>
            </w:r>
          </w:p>
        </w:tc>
        <w:tc>
          <w:tcPr>
            <w:tcW w:w="355"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D1225D">
            <w:pPr>
              <w:spacing w:after="0"/>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32.50.22.127</w:t>
            </w: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Нестерильный стержень из металла или другого материала, который вставляется в интрамедуллярный канал бедренной кости для иммобилизации концов сломанной кости в положении, способствующем ее срастанию. Данное изделие также может быть использовано для укрепления кости в случае различных патологических состояний и для осуществления артродеза коленного сустава. Изделие может быть блокируемым или не иметь блокировки, а также может комплектоваться компонентами, предназначенными для фиксации более проксимальных или дистальных участков кости. Это изделие одноразового использования, подлежащее стерилизации перед применением.</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val="restart"/>
            <w:tcBorders>
              <w:top w:val="single" w:sz="4" w:space="0" w:color="auto"/>
              <w:left w:val="single" w:sz="8" w:space="0" w:color="auto"/>
              <w:bottom w:val="single" w:sz="4" w:space="0" w:color="auto"/>
              <w:right w:val="single" w:sz="8" w:space="0" w:color="000000"/>
            </w:tcBorders>
            <w:hideMark/>
          </w:tcPr>
          <w:p w:rsidR="00FB657D" w:rsidRDefault="00FB657D" w:rsidP="00D1225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0" w:type="pct"/>
            <w:vMerge w:val="restart"/>
            <w:tcBorders>
              <w:top w:val="single" w:sz="4" w:space="0" w:color="auto"/>
              <w:left w:val="single" w:sz="8" w:space="0" w:color="000000"/>
              <w:bottom w:val="single" w:sz="4" w:space="0" w:color="auto"/>
              <w:right w:val="nil"/>
            </w:tcBorders>
            <w:hideMark/>
          </w:tcPr>
          <w:p w:rsidR="00FB657D" w:rsidRDefault="00FB657D" w:rsidP="00D1225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3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Описание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пригоден для лечения бедре</w:t>
            </w:r>
            <w:r w:rsidR="00D1225D">
              <w:rPr>
                <w:rFonts w:ascii="Times New Roman" w:eastAsia="Times New Roman" w:hAnsi="Times New Roman" w:cs="Times New Roman"/>
                <w:color w:val="000000"/>
                <w:sz w:val="16"/>
                <w:szCs w:val="16"/>
                <w:lang w:eastAsia="ru-RU"/>
              </w:rPr>
              <w:t xml:space="preserve">нной </w:t>
            </w:r>
            <w:r>
              <w:rPr>
                <w:rFonts w:ascii="Times New Roman" w:eastAsia="Times New Roman" w:hAnsi="Times New Roman" w:cs="Times New Roman"/>
                <w:color w:val="000000"/>
                <w:sz w:val="16"/>
                <w:szCs w:val="16"/>
                <w:lang w:eastAsia="ru-RU"/>
              </w:rPr>
              <w:t>кости. Стержень анатомической ф</w:t>
            </w:r>
            <w:r w:rsidR="00D1225D">
              <w:rPr>
                <w:rFonts w:ascii="Times New Roman" w:eastAsia="Times New Roman" w:hAnsi="Times New Roman" w:cs="Times New Roman"/>
                <w:color w:val="000000"/>
                <w:sz w:val="16"/>
                <w:szCs w:val="16"/>
                <w:lang w:eastAsia="ru-RU"/>
              </w:rPr>
              <w:t>ормы с модификациями для правой</w:t>
            </w:r>
            <w:r>
              <w:rPr>
                <w:rFonts w:ascii="Times New Roman" w:eastAsia="Times New Roman" w:hAnsi="Times New Roman" w:cs="Times New Roman"/>
                <w:color w:val="000000"/>
                <w:sz w:val="16"/>
                <w:szCs w:val="16"/>
                <w:lang w:eastAsia="ru-RU"/>
              </w:rPr>
              <w:t xml:space="preserve"> и левой конечности (по заявке заказчика). Стержень канюлированный.  Дистальный конец стержня срубленной формы (для возможности введения по направляющему стержню и использования техники рассверливания канала). По телу стержня по спирали в диафизарной и дистальной областях идут продольные канавки (для лучшей фиксации в кости).</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Диапазон длин </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280 до 600</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10, 11, 12, 13, 14</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Фиксация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Для фиксации стержня в проксимально</w:t>
            </w:r>
            <w:r w:rsidR="00D1225D">
              <w:rPr>
                <w:rFonts w:ascii="Times New Roman" w:eastAsia="Times New Roman" w:hAnsi="Times New Roman" w:cs="Times New Roman"/>
                <w:color w:val="000000"/>
                <w:sz w:val="16"/>
                <w:szCs w:val="16"/>
                <w:lang w:eastAsia="ru-RU"/>
              </w:rPr>
              <w:t>й области есть: 2 отверстия для</w:t>
            </w:r>
            <w:r>
              <w:rPr>
                <w:rFonts w:ascii="Times New Roman" w:eastAsia="Times New Roman" w:hAnsi="Times New Roman" w:cs="Times New Roman"/>
                <w:color w:val="000000"/>
                <w:sz w:val="16"/>
                <w:szCs w:val="16"/>
                <w:lang w:eastAsia="ru-RU"/>
              </w:rPr>
              <w:t xml:space="preserve"> </w:t>
            </w:r>
            <w:r w:rsidR="00D1225D">
              <w:rPr>
                <w:rFonts w:ascii="Times New Roman" w:eastAsia="Times New Roman" w:hAnsi="Times New Roman" w:cs="Times New Roman"/>
                <w:color w:val="000000"/>
                <w:sz w:val="16"/>
                <w:szCs w:val="16"/>
                <w:lang w:eastAsia="ru-RU"/>
              </w:rPr>
              <w:t xml:space="preserve">реконструктивных винтов; </w:t>
            </w:r>
            <w:r>
              <w:rPr>
                <w:rFonts w:ascii="Times New Roman" w:eastAsia="Times New Roman" w:hAnsi="Times New Roman" w:cs="Times New Roman"/>
                <w:color w:val="000000"/>
                <w:sz w:val="16"/>
                <w:szCs w:val="16"/>
                <w:lang w:eastAsia="ru-RU"/>
              </w:rPr>
              <w:t>2 отверстия с нарезкой резьбы для блоки</w:t>
            </w:r>
            <w:r w:rsidR="00D1225D">
              <w:rPr>
                <w:rFonts w:ascii="Times New Roman" w:eastAsia="Times New Roman" w:hAnsi="Times New Roman" w:cs="Times New Roman"/>
                <w:color w:val="000000"/>
                <w:sz w:val="16"/>
                <w:szCs w:val="16"/>
                <w:lang w:eastAsia="ru-RU"/>
              </w:rPr>
              <w:t xml:space="preserve">рующих винтов; 1 отверстие для </w:t>
            </w:r>
            <w:r>
              <w:rPr>
                <w:rFonts w:ascii="Times New Roman" w:eastAsia="Times New Roman" w:hAnsi="Times New Roman" w:cs="Times New Roman"/>
                <w:color w:val="000000"/>
                <w:sz w:val="16"/>
                <w:szCs w:val="16"/>
                <w:lang w:eastAsia="ru-RU"/>
              </w:rPr>
              <w:t>блокирующих винтов методом динамической стабилизации, расположение этого отверстия позволяет осуществлять компрессию предусмотренным компрессионным винтом М10х1,5. Отверстия расположены в одно</w:t>
            </w:r>
            <w:r w:rsidR="00D1225D">
              <w:rPr>
                <w:rFonts w:ascii="Times New Roman" w:eastAsia="Times New Roman" w:hAnsi="Times New Roman" w:cs="Times New Roman"/>
                <w:color w:val="000000"/>
                <w:sz w:val="16"/>
                <w:szCs w:val="16"/>
                <w:lang w:eastAsia="ru-RU"/>
              </w:rPr>
              <w:t>й плоскости. Два отверстия для реконструктивных винтов</w:t>
            </w:r>
            <w:r>
              <w:rPr>
                <w:rFonts w:ascii="Times New Roman" w:eastAsia="Times New Roman" w:hAnsi="Times New Roman" w:cs="Times New Roman"/>
                <w:color w:val="000000"/>
                <w:sz w:val="16"/>
                <w:szCs w:val="16"/>
                <w:lang w:eastAsia="ru-RU"/>
              </w:rPr>
              <w:t xml:space="preserve"> допускают выбор угла наклона для установки стержня реконструктивным, чрезвертельным или компрессионным ме</w:t>
            </w:r>
            <w:r w:rsidR="00D1225D">
              <w:rPr>
                <w:rFonts w:ascii="Times New Roman" w:eastAsia="Times New Roman" w:hAnsi="Times New Roman" w:cs="Times New Roman"/>
                <w:color w:val="000000"/>
                <w:sz w:val="16"/>
                <w:szCs w:val="16"/>
                <w:lang w:eastAsia="ru-RU"/>
              </w:rPr>
              <w:t xml:space="preserve">тодом.  Для фиксации стержня в </w:t>
            </w:r>
            <w:r>
              <w:rPr>
                <w:rFonts w:ascii="Times New Roman" w:eastAsia="Times New Roman" w:hAnsi="Times New Roman" w:cs="Times New Roman"/>
                <w:color w:val="000000"/>
                <w:sz w:val="16"/>
                <w:szCs w:val="16"/>
                <w:lang w:eastAsia="ru-RU"/>
              </w:rPr>
              <w:t>дистальной области есть: 3 отверстий с нарезкой резьбы для блокирующих винтов; 1 отверстие для  блокирующих винтов методом динамической стабилизации. Отверстия расположены в разных плоскостях. Фиксация стержня - реконструктивными канюлированными винтами Ø7,5 мм, блокирующими винтами Ø5,0 мм, блокирующими винтами с угловой стабилизацией Ø5,5 мм. В качестве  заглушки - слепой винт М10х1,5 (для обеспечения надежной фиксации)</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Цветовая маркировка</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Комплектация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набор входит: винт реконструктивный канюлированный  Ø7,5 мм, винт блокирующий  Ø5,0 мм, винт блокирующий  Ø5,5 мм, винт слепой М10х1,5</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8" w:space="0" w:color="000000"/>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реконструктивный канюлированный  Ø7,5 мм</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7,5</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50 до 120мм с шагом 5мм; по заявке заказчика</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Т30</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блокирующий  Ø5,0 мм</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16 до 90; по заявке заказчика. Шаг в диапазоне длин от 30 до 90 – 5 мм</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Т25</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блокирующий  Ø5,5 мм</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 16 до 90; по заявке заказчика Шаг в диапазоне длин от 30 до 90 - 5мм</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Т25</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винт слепой М10х1,5</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используется как слепой в качестве заглушки стержня.</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резьба</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М10х1,5</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типоразмеры</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имеет 4 типоразмера, с высотой головки в диапазоне от 0 до 15 мм с шагом 5 мм</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шлиц </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звездочка размера Т30</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1</w:t>
            </w:r>
          </w:p>
        </w:tc>
        <w:tc>
          <w:tcPr>
            <w:tcW w:w="311"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p>
        </w:tc>
        <w:tc>
          <w:tcPr>
            <w:tcW w:w="577" w:type="pct"/>
            <w:tcBorders>
              <w:top w:val="single" w:sz="8" w:space="0" w:color="000000"/>
              <w:left w:val="nil"/>
              <w:bottom w:val="single" w:sz="8" w:space="0" w:color="000000"/>
              <w:right w:val="single" w:sz="8" w:space="0" w:color="auto"/>
            </w:tcBorders>
            <w:hideMark/>
          </w:tcPr>
          <w:p w:rsidR="00FB657D" w:rsidRDefault="00FB657D" w:rsidP="00D1225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5719D5" w:rsidTr="005719D5">
        <w:trPr>
          <w:trHeight w:val="300"/>
        </w:trPr>
        <w:tc>
          <w:tcPr>
            <w:tcW w:w="130"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10634C">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46"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Стержень интрамедуллярный большеберцовый в комплекте с набором винтов</w:t>
            </w:r>
          </w:p>
        </w:tc>
        <w:tc>
          <w:tcPr>
            <w:tcW w:w="355"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10634C">
            <w:pPr>
              <w:spacing w:after="0"/>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32.50.22.127</w:t>
            </w: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Нестерильный стержень, изготовленный из металла или другого материала для введения в интрамедуллярный канал большеберцовой кости, предназначен для иммобилизации концов сломанной кости в положении, необходимом для сращения. Стержень также может использоваться для поддержки кости при патологических состояниях или при артродезе коленного сустава. Изделие может быть блокируемым или не иметь блокировки, также может содержать компоненты для фиксации в проксимальном или дистальном положении. Это изделие одноразового использования, подлежащее стерилизации перед использованием.</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val="restart"/>
            <w:tcBorders>
              <w:top w:val="single" w:sz="4" w:space="0" w:color="auto"/>
              <w:left w:val="single" w:sz="8" w:space="0" w:color="auto"/>
              <w:bottom w:val="single" w:sz="4" w:space="0" w:color="auto"/>
              <w:right w:val="single" w:sz="8" w:space="0" w:color="000000"/>
            </w:tcBorders>
            <w:hideMark/>
          </w:tcPr>
          <w:p w:rsidR="00FB657D" w:rsidRDefault="00FB657D" w:rsidP="0010634C">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0" w:type="pct"/>
            <w:vMerge w:val="restart"/>
            <w:tcBorders>
              <w:top w:val="single" w:sz="4" w:space="0" w:color="auto"/>
              <w:left w:val="single" w:sz="8" w:space="0" w:color="000000"/>
              <w:bottom w:val="single" w:sz="4" w:space="0" w:color="auto"/>
              <w:right w:val="nil"/>
            </w:tcBorders>
            <w:hideMark/>
          </w:tcPr>
          <w:p w:rsidR="00FB657D" w:rsidRDefault="00FB657D" w:rsidP="0010634C">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3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Описание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приго</w:t>
            </w:r>
            <w:r w:rsidR="0010634C">
              <w:rPr>
                <w:rFonts w:ascii="Times New Roman" w:hAnsi="Times New Roman" w:cs="Times New Roman"/>
                <w:sz w:val="16"/>
                <w:szCs w:val="16"/>
              </w:rPr>
              <w:t xml:space="preserve">ден для лечения большеберцовый </w:t>
            </w:r>
            <w:r>
              <w:rPr>
                <w:rFonts w:ascii="Times New Roman" w:hAnsi="Times New Roman" w:cs="Times New Roman"/>
                <w:sz w:val="16"/>
                <w:szCs w:val="16"/>
              </w:rPr>
              <w:t>кости. Стержень анатомической формы универсальный для правой и левой конечности. Стержень имеет канюлированную и сплошную модификации; по заявке заказчика. Стержень с гладкой поверхностью. Дистальный конец канюлированного стержня срубленной формы,  а сплошного – заостренный.</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10634C" w:rsidP="0010634C">
            <w:pPr>
              <w:spacing w:after="0"/>
              <w:jc w:val="center"/>
              <w:rPr>
                <w:rFonts w:ascii="Times New Roman" w:hAnsi="Times New Roman" w:cs="Times New Roman"/>
                <w:sz w:val="16"/>
                <w:szCs w:val="16"/>
              </w:rPr>
            </w:pPr>
            <w:r>
              <w:rPr>
                <w:rFonts w:ascii="Times New Roman" w:hAnsi="Times New Roman" w:cs="Times New Roman"/>
                <w:sz w:val="16"/>
                <w:szCs w:val="16"/>
              </w:rPr>
              <w:t>от 210 до 600</w:t>
            </w:r>
            <w:r w:rsidR="00FB657D">
              <w:rPr>
                <w:rFonts w:ascii="Times New Roman" w:hAnsi="Times New Roman" w:cs="Times New Roman"/>
                <w:sz w:val="16"/>
                <w:szCs w:val="16"/>
              </w:rPr>
              <w:t>. Стержни с диапазоном длин от 270 до 390 имеют шаг 15мм; по заявке заказчика.</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8, 9, 10, 11, 12, 13, 14</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Фиксация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Для фиксации стержня в проксимальной области есть: 4 отверстия с нарезкой резьбы для блокирующих винтов, расположенных в разн</w:t>
            </w:r>
            <w:r w:rsidR="0010634C">
              <w:rPr>
                <w:rFonts w:ascii="Times New Roman" w:hAnsi="Times New Roman" w:cs="Times New Roman"/>
                <w:sz w:val="16"/>
                <w:szCs w:val="16"/>
              </w:rPr>
              <w:t xml:space="preserve">ых плоскостях; 1 отверстие для </w:t>
            </w:r>
            <w:r>
              <w:rPr>
                <w:rFonts w:ascii="Times New Roman" w:hAnsi="Times New Roman" w:cs="Times New Roman"/>
                <w:sz w:val="16"/>
                <w:szCs w:val="16"/>
              </w:rPr>
              <w:t>блокирующих винтов методом динамической стабилизации, расположение этого отверстия позволяет осуществлять компрессию предусмотренным компрессионным винтом М8х1,25. Для фиксации сте</w:t>
            </w:r>
            <w:r w:rsidR="0010634C">
              <w:rPr>
                <w:rFonts w:ascii="Times New Roman" w:hAnsi="Times New Roman" w:cs="Times New Roman"/>
                <w:sz w:val="16"/>
                <w:szCs w:val="16"/>
              </w:rPr>
              <w:t xml:space="preserve">ржня в </w:t>
            </w:r>
            <w:r>
              <w:rPr>
                <w:rFonts w:ascii="Times New Roman" w:hAnsi="Times New Roman" w:cs="Times New Roman"/>
                <w:sz w:val="16"/>
                <w:szCs w:val="16"/>
              </w:rPr>
              <w:t>дистальной области есть: 3 отверстия с нарезкой резьбы для блокирующих винтов, расположенных в разн</w:t>
            </w:r>
            <w:r w:rsidR="0010634C">
              <w:rPr>
                <w:rFonts w:ascii="Times New Roman" w:hAnsi="Times New Roman" w:cs="Times New Roman"/>
                <w:sz w:val="16"/>
                <w:szCs w:val="16"/>
              </w:rPr>
              <w:t xml:space="preserve">ых плоскостях; 1 отверстие для </w:t>
            </w:r>
            <w:r>
              <w:rPr>
                <w:rFonts w:ascii="Times New Roman" w:hAnsi="Times New Roman" w:cs="Times New Roman"/>
                <w:sz w:val="16"/>
                <w:szCs w:val="16"/>
              </w:rPr>
              <w:t>блокирующих винтов методом динамической стабилизации. Фиксация стержня - блокирующ</w:t>
            </w:r>
            <w:r w:rsidR="0010634C">
              <w:rPr>
                <w:rFonts w:ascii="Times New Roman" w:hAnsi="Times New Roman" w:cs="Times New Roman"/>
                <w:sz w:val="16"/>
                <w:szCs w:val="16"/>
              </w:rPr>
              <w:t xml:space="preserve">ими винтами Ø4,0 мм и Ø5,0 мм, </w:t>
            </w:r>
            <w:r>
              <w:rPr>
                <w:rFonts w:ascii="Times New Roman" w:hAnsi="Times New Roman" w:cs="Times New Roman"/>
                <w:sz w:val="16"/>
                <w:szCs w:val="16"/>
              </w:rPr>
              <w:t>блокирующими винтами с угловой стабилизацией Ø4,5 мм и Ø5,5 мм.  В качестве заглушки - слепой винт М8х1,25 (для обеспечения надежной фиксации).</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Комплектация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в набор входит: винт блокирующий Ø4,0 мм, блокирующий Ø4,5 мм, винт слепой М8х1,25</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блокирующий  Ø4,0 мм</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4,0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от 16 до 90; по заявке заказчика. Шаг в диапазоне длин  от 25 до 80  - 5 мм</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звездочка размера Т25</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2</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блокирующий  Ø4,5 мм</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4,5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длин от 16 до 90; по заявке заказчика. Шаг в диапазоне длин от 25 до 80 - 5 мм;</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звездочка размера Т25</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2</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слепой М10х1,5</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используется как слепой в качестве заглушки стержня.</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резьба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М8х1,25</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типоразмеры</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имеет 4 типоразмера, с высотой головки в диапазоне от 0 до 15 мм с шагом 5 мм</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 xml:space="preserve">шлиц </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звездочка размера Т30</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1</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5719D5" w:rsidTr="005719D5">
        <w:trPr>
          <w:trHeight w:val="300"/>
        </w:trPr>
        <w:tc>
          <w:tcPr>
            <w:tcW w:w="130" w:type="pct"/>
            <w:vMerge w:val="restart"/>
            <w:tcBorders>
              <w:top w:val="single" w:sz="4" w:space="0" w:color="auto"/>
              <w:left w:val="single" w:sz="8" w:space="0" w:color="000000"/>
              <w:bottom w:val="single" w:sz="4" w:space="0" w:color="auto"/>
              <w:right w:val="single" w:sz="8" w:space="0" w:color="000000"/>
            </w:tcBorders>
            <w:hideMark/>
          </w:tcPr>
          <w:p w:rsidR="00FB657D" w:rsidRDefault="0010634C" w:rsidP="0010634C">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446"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Дистальная диафизарная блокированная пластина для лучевой кости в комплекте с винтами</w:t>
            </w:r>
          </w:p>
        </w:tc>
        <w:tc>
          <w:tcPr>
            <w:tcW w:w="355"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10634C">
            <w:pPr>
              <w:spacing w:after="0"/>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32.50.22.127</w:t>
            </w: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val="restart"/>
            <w:tcBorders>
              <w:top w:val="single" w:sz="4" w:space="0" w:color="auto"/>
              <w:left w:val="single" w:sz="8" w:space="0" w:color="auto"/>
              <w:bottom w:val="single" w:sz="4" w:space="0" w:color="auto"/>
              <w:right w:val="single" w:sz="8" w:space="0" w:color="000000"/>
            </w:tcBorders>
            <w:hideMark/>
          </w:tcPr>
          <w:p w:rsidR="00FB657D" w:rsidRDefault="00FB657D" w:rsidP="0010634C">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0" w:type="pct"/>
            <w:vMerge w:val="restart"/>
            <w:tcBorders>
              <w:top w:val="single" w:sz="4" w:space="0" w:color="auto"/>
              <w:left w:val="single" w:sz="8" w:space="0" w:color="000000"/>
              <w:bottom w:val="single" w:sz="4" w:space="0" w:color="auto"/>
              <w:right w:val="nil"/>
            </w:tcBorders>
            <w:hideMark/>
          </w:tcPr>
          <w:p w:rsidR="00FB657D" w:rsidRDefault="00FB657D" w:rsidP="0010634C">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w:t>
            </w:r>
          </w:p>
        </w:tc>
        <w:tc>
          <w:tcPr>
            <w:tcW w:w="3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Описание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Пластина имеет медиальный выступ, обеспечивающий введение винтов, поддерживающих полулунную фасетку. Пластина имеет в метафизарной части не менее 4 отверстия для блокированных винтов, в диафизарной от 6 до 13 отверстий (по выбору Заказчика). Пластина анатомически предмоделирована. Исполнение для правой или левой конечности (по выбору Заказчика).</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от 94 до 187 (по выбору Заказчика)</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Толщина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2,5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Ширина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10,0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Расстояние между отверстиями в диафизарной части</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13,5 мм.</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Комплектация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в комплект входит: винт блокируемый 2,4 мм, винт блокируемый 3,5 мм, винт кортикальный 3,5 мм</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блокируемый 2,4 мм</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резьбы</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2,4</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головки</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3,5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Резьба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по всей длине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от 6 до 30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Т8.</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самонарезающий кончик</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4</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титановый сплав</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блокируемый 3,5 мм,</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винта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3,5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головки</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Резьба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по всей длине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от 6 до 30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гексогональный</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Размер (стороны) шлица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2,5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самонарезающий кончик</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7</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титановый сплав</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винт кортикальный 3,5 мм,</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винта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3,5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Диаметр головки</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6,0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Резьба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по всей длине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Длина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от 10 до 40</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Шлиц</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гексогональный</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Размер (стороны) шлица</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2,5</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самонарезающий кончик</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количество</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не менее 3</w:t>
            </w:r>
          </w:p>
        </w:tc>
        <w:tc>
          <w:tcPr>
            <w:tcW w:w="311"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шт</w:t>
            </w: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shd w:val="clear" w:color="auto" w:fill="FFFFFF"/>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Материал изготовления</w:t>
            </w:r>
          </w:p>
        </w:tc>
        <w:tc>
          <w:tcPr>
            <w:tcW w:w="887" w:type="pct"/>
            <w:tcBorders>
              <w:top w:val="single" w:sz="8" w:space="0" w:color="000000"/>
              <w:left w:val="nil"/>
              <w:bottom w:val="single" w:sz="8" w:space="0" w:color="000000"/>
              <w:right w:val="single" w:sz="8" w:space="0" w:color="000000"/>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титановый сплав</w:t>
            </w:r>
          </w:p>
        </w:tc>
        <w:tc>
          <w:tcPr>
            <w:tcW w:w="311" w:type="pct"/>
            <w:tcBorders>
              <w:top w:val="single" w:sz="8" w:space="0" w:color="000000"/>
              <w:left w:val="nil"/>
              <w:bottom w:val="single" w:sz="8" w:space="0" w:color="000000"/>
              <w:right w:val="single" w:sz="8" w:space="0" w:color="000000"/>
            </w:tcBorders>
          </w:tcPr>
          <w:p w:rsidR="00FB657D" w:rsidRDefault="00FB657D" w:rsidP="0010634C">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10634C">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5719D5" w:rsidTr="005719D5">
        <w:trPr>
          <w:trHeight w:val="300"/>
        </w:trPr>
        <w:tc>
          <w:tcPr>
            <w:tcW w:w="130" w:type="pct"/>
            <w:vMerge w:val="restart"/>
            <w:tcBorders>
              <w:top w:val="single" w:sz="4" w:space="0" w:color="auto"/>
              <w:left w:val="single" w:sz="8" w:space="0" w:color="000000"/>
              <w:bottom w:val="single" w:sz="4" w:space="0" w:color="auto"/>
              <w:right w:val="single" w:sz="8" w:space="0" w:color="000000"/>
            </w:tcBorders>
            <w:hideMark/>
          </w:tcPr>
          <w:p w:rsidR="00FB657D" w:rsidRDefault="005719D5" w:rsidP="005719D5">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46"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Сетка для функциональной реконструкции</w:t>
            </w:r>
          </w:p>
        </w:tc>
        <w:tc>
          <w:tcPr>
            <w:tcW w:w="355" w:type="pct"/>
            <w:vMerge w:val="restart"/>
            <w:tcBorders>
              <w:top w:val="single" w:sz="4" w:space="0" w:color="auto"/>
              <w:left w:val="single" w:sz="8" w:space="0" w:color="000000"/>
              <w:bottom w:val="single" w:sz="4" w:space="0" w:color="auto"/>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shd w:val="clear" w:color="auto" w:fill="FFFFFF"/>
              </w:rPr>
              <w:t>32.50.22.199</w:t>
            </w: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Описание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Стерильная, биосовместимая и биоинтегрируемая, изготовлена из полиэтилентерефталата в виде трубки, из не плетённых продольных полиэфирных волокон, которые связаны друг с другом на молекулярном уровне</w:t>
            </w:r>
          </w:p>
        </w:tc>
        <w:tc>
          <w:tcPr>
            <w:tcW w:w="311" w:type="pct"/>
            <w:tcBorders>
              <w:top w:val="single" w:sz="8" w:space="0" w:color="000000"/>
              <w:left w:val="nil"/>
              <w:bottom w:val="single" w:sz="8" w:space="0" w:color="000000"/>
              <w:right w:val="single" w:sz="8" w:space="0" w:color="000000"/>
            </w:tcBorders>
            <w:vAlign w:val="center"/>
          </w:tcPr>
          <w:p w:rsidR="00FB657D" w:rsidRDefault="00FB657D" w:rsidP="005719D5">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val="restart"/>
            <w:tcBorders>
              <w:top w:val="single" w:sz="4" w:space="0" w:color="auto"/>
              <w:left w:val="single" w:sz="8" w:space="0" w:color="auto"/>
              <w:bottom w:val="single" w:sz="4" w:space="0" w:color="auto"/>
              <w:right w:val="single" w:sz="8" w:space="0" w:color="000000"/>
            </w:tcBorders>
            <w:hideMark/>
          </w:tcPr>
          <w:p w:rsidR="00FB657D" w:rsidRDefault="00FB657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310" w:type="pct"/>
            <w:vMerge w:val="restart"/>
            <w:tcBorders>
              <w:top w:val="single" w:sz="4" w:space="0" w:color="auto"/>
              <w:left w:val="single" w:sz="8" w:space="0" w:color="000000"/>
              <w:bottom w:val="single" w:sz="4" w:space="0" w:color="auto"/>
              <w:right w:val="nil"/>
            </w:tcBorders>
            <w:hideMark/>
          </w:tcPr>
          <w:p w:rsidR="00FB657D" w:rsidRDefault="00FB657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3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val="restart"/>
            <w:tcBorders>
              <w:top w:val="single" w:sz="4" w:space="0" w:color="auto"/>
              <w:left w:val="single" w:sz="4" w:space="0" w:color="auto"/>
              <w:bottom w:val="single" w:sz="4" w:space="0" w:color="auto"/>
              <w:right w:val="single" w:sz="4" w:space="0" w:color="auto"/>
            </w:tcBorders>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Размер ячейки</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не менее 200</w:t>
            </w:r>
          </w:p>
        </w:tc>
        <w:tc>
          <w:tcPr>
            <w:tcW w:w="311"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µm</w:t>
            </w: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Размер изделия</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60 х 400</w:t>
            </w:r>
          </w:p>
        </w:tc>
        <w:tc>
          <w:tcPr>
            <w:tcW w:w="311"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мм</w:t>
            </w: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Назначение</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используется для закрепления мягких тканей и сухожилий, для уменьшения объёма выпота</w:t>
            </w:r>
          </w:p>
        </w:tc>
        <w:tc>
          <w:tcPr>
            <w:tcW w:w="311" w:type="pct"/>
            <w:tcBorders>
              <w:top w:val="single" w:sz="8" w:space="0" w:color="000000"/>
              <w:left w:val="nil"/>
              <w:bottom w:val="single" w:sz="8" w:space="0" w:color="000000"/>
              <w:right w:val="single" w:sz="8" w:space="0" w:color="000000"/>
            </w:tcBorders>
          </w:tcPr>
          <w:p w:rsidR="00FB657D" w:rsidRDefault="00FB657D" w:rsidP="005719D5">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 xml:space="preserve">Максимальная величина удлинения </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не более 7% от его первоначальной длины после 10 000 000 циклов движения.</w:t>
            </w:r>
          </w:p>
        </w:tc>
        <w:tc>
          <w:tcPr>
            <w:tcW w:w="311" w:type="pct"/>
            <w:tcBorders>
              <w:top w:val="single" w:sz="8" w:space="0" w:color="000000"/>
              <w:left w:val="nil"/>
              <w:bottom w:val="single" w:sz="8" w:space="0" w:color="000000"/>
              <w:right w:val="single" w:sz="8" w:space="0" w:color="000000"/>
            </w:tcBorders>
          </w:tcPr>
          <w:p w:rsidR="00FB657D" w:rsidRDefault="00FB657D" w:rsidP="005719D5">
            <w:pPr>
              <w:spacing w:after="0"/>
              <w:jc w:val="center"/>
              <w:rPr>
                <w:rFonts w:ascii="Times New Roman" w:hAnsi="Times New Roman" w:cs="Times New Roman"/>
                <w:sz w:val="16"/>
                <w:szCs w:val="16"/>
              </w:rPr>
            </w:pP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Значение характеристики не может изменяться участником закупки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r w:rsidR="00FB657D" w:rsidTr="005719D5">
        <w:trPr>
          <w:trHeight w:val="300"/>
        </w:trPr>
        <w:tc>
          <w:tcPr>
            <w:tcW w:w="130"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sz w:val="16"/>
                <w:szCs w:val="16"/>
                <w:lang w:eastAsia="ru-RU"/>
              </w:rPr>
            </w:pPr>
          </w:p>
        </w:tc>
        <w:tc>
          <w:tcPr>
            <w:tcW w:w="446"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355" w:type="pct"/>
            <w:vMerge/>
            <w:tcBorders>
              <w:top w:val="single" w:sz="4" w:space="0" w:color="auto"/>
              <w:left w:val="single" w:sz="8" w:space="0" w:color="000000"/>
              <w:bottom w:val="single" w:sz="4" w:space="0" w:color="auto"/>
              <w:right w:val="single" w:sz="8" w:space="0" w:color="000000"/>
            </w:tcBorders>
            <w:vAlign w:val="center"/>
            <w:hideMark/>
          </w:tcPr>
          <w:p w:rsidR="00FB657D" w:rsidRDefault="00FB657D">
            <w:pPr>
              <w:spacing w:after="0"/>
              <w:rPr>
                <w:rFonts w:ascii="Times New Roman" w:hAnsi="Times New Roman" w:cs="Times New Roman"/>
                <w:sz w:val="16"/>
                <w:szCs w:val="16"/>
              </w:rPr>
            </w:pPr>
          </w:p>
        </w:tc>
        <w:tc>
          <w:tcPr>
            <w:tcW w:w="443" w:type="pct"/>
            <w:tcBorders>
              <w:top w:val="single" w:sz="4" w:space="0" w:color="auto"/>
              <w:left w:val="nil"/>
              <w:bottom w:val="single" w:sz="4" w:space="0" w:color="auto"/>
              <w:right w:val="single" w:sz="8" w:space="0" w:color="000000"/>
            </w:tcBorders>
            <w:hideMark/>
          </w:tcPr>
          <w:p w:rsidR="00FB657D" w:rsidRDefault="00FB657D">
            <w:pPr>
              <w:spacing w:after="0"/>
              <w:rPr>
                <w:rFonts w:ascii="Times New Roman" w:hAnsi="Times New Roman" w:cs="Times New Roman"/>
                <w:sz w:val="16"/>
                <w:szCs w:val="16"/>
              </w:rPr>
            </w:pPr>
            <w:r>
              <w:rPr>
                <w:rFonts w:ascii="Times New Roman" w:hAnsi="Times New Roman" w:cs="Times New Roman"/>
                <w:sz w:val="16"/>
                <w:szCs w:val="16"/>
              </w:rPr>
              <w:t xml:space="preserve">Минимальная нагрузка пучка на разрыв </w:t>
            </w:r>
          </w:p>
        </w:tc>
        <w:tc>
          <w:tcPr>
            <w:tcW w:w="887"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не менее 4000</w:t>
            </w:r>
          </w:p>
        </w:tc>
        <w:tc>
          <w:tcPr>
            <w:tcW w:w="311" w:type="pct"/>
            <w:tcBorders>
              <w:top w:val="single" w:sz="8" w:space="0" w:color="000000"/>
              <w:left w:val="nil"/>
              <w:bottom w:val="single" w:sz="8" w:space="0" w:color="000000"/>
              <w:right w:val="single" w:sz="8" w:space="0" w:color="000000"/>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Ньютонов</w:t>
            </w:r>
          </w:p>
        </w:tc>
        <w:tc>
          <w:tcPr>
            <w:tcW w:w="577" w:type="pct"/>
            <w:tcBorders>
              <w:top w:val="single" w:sz="8" w:space="0" w:color="000000"/>
              <w:left w:val="nil"/>
              <w:bottom w:val="single" w:sz="8" w:space="0" w:color="000000"/>
              <w:right w:val="single" w:sz="8" w:space="0" w:color="auto"/>
            </w:tcBorders>
            <w:hideMark/>
          </w:tcPr>
          <w:p w:rsidR="00FB657D" w:rsidRDefault="00FB657D" w:rsidP="005719D5">
            <w:pPr>
              <w:spacing w:after="0"/>
              <w:jc w:val="center"/>
              <w:rPr>
                <w:rFonts w:ascii="Times New Roman" w:hAnsi="Times New Roman" w:cs="Times New Roman"/>
                <w:sz w:val="16"/>
                <w:szCs w:val="16"/>
              </w:rPr>
            </w:pPr>
            <w:r>
              <w:rPr>
                <w:rFonts w:ascii="Times New Roman" w:hAnsi="Times New Roman" w:cs="Times New Roman"/>
                <w:sz w:val="16"/>
                <w:szCs w:val="16"/>
              </w:rPr>
              <w:t>Участник закупки указывает в заявке конкретное значение характеристики</w:t>
            </w:r>
          </w:p>
        </w:tc>
        <w:tc>
          <w:tcPr>
            <w:tcW w:w="399" w:type="pct"/>
            <w:vMerge/>
            <w:tcBorders>
              <w:top w:val="single" w:sz="4" w:space="0" w:color="auto"/>
              <w:left w:val="single" w:sz="8" w:space="0" w:color="auto"/>
              <w:bottom w:val="single" w:sz="4" w:space="0" w:color="auto"/>
              <w:right w:val="single" w:sz="8" w:space="0" w:color="000000"/>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8" w:space="0" w:color="000000"/>
              <w:bottom w:val="single" w:sz="4" w:space="0" w:color="auto"/>
              <w:right w:val="nil"/>
            </w:tcBorders>
            <w:vAlign w:val="center"/>
            <w:hideMark/>
          </w:tcPr>
          <w:p w:rsidR="00FB657D" w:rsidRDefault="00FB657D">
            <w:pPr>
              <w:spacing w:after="0"/>
              <w:rPr>
                <w:rFonts w:ascii="Times New Roman" w:eastAsia="Times New Roman" w:hAnsi="Times New Roman" w:cs="Times New Roman"/>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FB657D" w:rsidRDefault="00FB657D">
            <w:pPr>
              <w:spacing w:after="0"/>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FB657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32" w:rsidRDefault="006D3932">
      <w:pPr>
        <w:spacing w:after="0" w:line="240" w:lineRule="auto"/>
      </w:pPr>
      <w:r>
        <w:separator/>
      </w:r>
    </w:p>
  </w:endnote>
  <w:endnote w:type="continuationSeparator" w:id="0">
    <w:p w:rsidR="006D3932" w:rsidRDefault="006D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B4F" w:rsidRDefault="00595B4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5B4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95B4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5B4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5B4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719D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5B4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719D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32" w:rsidRDefault="006D3932">
      <w:pPr>
        <w:spacing w:after="0" w:line="240" w:lineRule="auto"/>
      </w:pPr>
      <w:r>
        <w:separator/>
      </w:r>
    </w:p>
  </w:footnote>
  <w:footnote w:type="continuationSeparator" w:id="0">
    <w:p w:rsidR="006D3932" w:rsidRDefault="006D393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B4F" w:rsidRDefault="00595B4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B4F" w:rsidRDefault="00595B4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B4F" w:rsidRDefault="00595B4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0634C"/>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19D5"/>
    <w:rsid w:val="0057245F"/>
    <w:rsid w:val="00577D46"/>
    <w:rsid w:val="00582162"/>
    <w:rsid w:val="00583FE8"/>
    <w:rsid w:val="00585F05"/>
    <w:rsid w:val="00592AB6"/>
    <w:rsid w:val="00593990"/>
    <w:rsid w:val="005948C3"/>
    <w:rsid w:val="00595B4F"/>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3932"/>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225D"/>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657D"/>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uiPriority w:val="99"/>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uiPriority w:val="99"/>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uiPriority w:val="99"/>
    <w:rsid w:val="00FB6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1"/>
    <w:uiPriority w:val="99"/>
    <w:semiHidden/>
    <w:rsid w:val="00FB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2682618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B5D5-9073-4AB8-AFB2-115F3327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4051</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