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08.10.2021 № 05-07/1060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r>
            <w:proofErr w:type="spellStart"/>
            <w:r w:rsidRPr="00450429">
              <w:rPr>
                <w:rFonts w:ascii="Times New Roman" w:hAnsi="Times New Roman" w:cs="Times New Roman"/>
                <w:sz w:val="24"/>
                <w:szCs w:val="24"/>
              </w:rPr>
              <w:t>ст</w:t>
            </w:r>
            <w:proofErr w:type="spellEnd"/>
            <w:r w:rsidR="00C5719E">
              <w:rPr>
                <w:rFonts w:ascii="Times New Roman" w:hAnsi="Times New Roman" w:cs="Times New Roman"/>
                <w:sz w:val="24"/>
                <w:szCs w:val="24"/>
              </w:rPr>
              <w:t xml:space="preserve"> </w:t>
            </w:r>
            <w:proofErr w:type="spellStart"/>
            <w:r w:rsidRPr="00450429">
              <w:rPr>
                <w:rFonts w:ascii="Times New Roman" w:hAnsi="Times New Roman" w:cs="Times New Roman"/>
                <w:sz w:val="24"/>
                <w:szCs w:val="24"/>
              </w:rPr>
              <w:t>оимость</w:t>
            </w:r>
            <w:proofErr w:type="spellEnd"/>
            <w:r w:rsidRPr="00450429">
              <w:rPr>
                <w:rFonts w:ascii="Times New Roman" w:hAnsi="Times New Roman" w:cs="Times New Roman"/>
                <w:sz w:val="24"/>
                <w:szCs w:val="24"/>
              </w:rPr>
              <w:t xml:space="preserve">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47BD7">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69"/>
        <w:gridCol w:w="902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23.11.2021.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Правительства РФ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C55A5D" w:rsidRPr="00F0107A" w:rsidRDefault="00C55A5D" w:rsidP="00C55A5D">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C55A5D" w:rsidRDefault="00C55A5D" w:rsidP="00C55A5D">
      <w:pPr>
        <w:spacing w:after="0" w:line="240" w:lineRule="auto"/>
        <w:jc w:val="both"/>
        <w:rPr>
          <w:rFonts w:ascii="Times New Roman" w:hAnsi="Times New Roman"/>
          <w:color w:val="000000"/>
          <w:lang w:eastAsia="ru-RU"/>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839"/>
        <w:gridCol w:w="5462"/>
        <w:gridCol w:w="708"/>
        <w:gridCol w:w="709"/>
        <w:gridCol w:w="1559"/>
        <w:gridCol w:w="1276"/>
        <w:gridCol w:w="851"/>
        <w:gridCol w:w="1134"/>
        <w:gridCol w:w="949"/>
      </w:tblGrid>
      <w:tr w:rsidR="00C55A5D" w:rsidRPr="000E0FFD" w:rsidTr="00B23C28">
        <w:trPr>
          <w:trHeight w:val="20"/>
          <w:jc w:val="center"/>
        </w:trPr>
        <w:tc>
          <w:tcPr>
            <w:tcW w:w="595" w:type="dxa"/>
            <w:vAlign w:val="center"/>
            <w:hideMark/>
          </w:tcPr>
          <w:p w:rsidR="00C55A5D" w:rsidRPr="000E0FFD" w:rsidRDefault="00C55A5D" w:rsidP="00B23C28">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839" w:type="dxa"/>
            <w:vAlign w:val="center"/>
            <w:hideMark/>
          </w:tcPr>
          <w:p w:rsidR="00C55A5D" w:rsidRPr="008F2872" w:rsidRDefault="00C55A5D" w:rsidP="00B23C28">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462" w:type="dxa"/>
            <w:vAlign w:val="center"/>
            <w:hideMark/>
          </w:tcPr>
          <w:p w:rsidR="00C55A5D" w:rsidRPr="000E0FFD" w:rsidRDefault="00C55A5D" w:rsidP="00B23C28">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8" w:type="dxa"/>
            <w:vAlign w:val="center"/>
          </w:tcPr>
          <w:p w:rsidR="00C55A5D" w:rsidRPr="000E0FFD" w:rsidRDefault="00C55A5D" w:rsidP="00B23C28">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C55A5D" w:rsidRPr="000E0FFD" w:rsidRDefault="00C55A5D" w:rsidP="00B23C28">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59" w:type="dxa"/>
            <w:vAlign w:val="center"/>
          </w:tcPr>
          <w:p w:rsidR="00C55A5D" w:rsidRPr="000E0FFD" w:rsidRDefault="00C55A5D" w:rsidP="00B23C28">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276" w:type="dxa"/>
            <w:shd w:val="clear" w:color="auto" w:fill="FFFFCC"/>
            <w:vAlign w:val="center"/>
          </w:tcPr>
          <w:p w:rsidR="00C55A5D" w:rsidRPr="000E0FFD" w:rsidRDefault="00C55A5D" w:rsidP="00B23C28">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851" w:type="dxa"/>
            <w:shd w:val="clear" w:color="auto" w:fill="FFFFCC"/>
            <w:vAlign w:val="center"/>
          </w:tcPr>
          <w:p w:rsidR="00C55A5D" w:rsidRPr="00C2575C" w:rsidRDefault="00C55A5D" w:rsidP="00B23C28">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134" w:type="dxa"/>
            <w:shd w:val="clear" w:color="auto" w:fill="FFFFCC"/>
            <w:vAlign w:val="center"/>
          </w:tcPr>
          <w:p w:rsidR="00C55A5D" w:rsidRPr="00C2575C" w:rsidRDefault="00C55A5D" w:rsidP="00B23C28">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949" w:type="dxa"/>
            <w:shd w:val="clear" w:color="auto" w:fill="FFFFCC"/>
            <w:vAlign w:val="center"/>
          </w:tcPr>
          <w:p w:rsidR="00C55A5D" w:rsidRPr="00C2575C" w:rsidRDefault="00C55A5D" w:rsidP="00B23C28">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C55A5D" w:rsidRPr="000E0FFD" w:rsidTr="00B23C28">
        <w:trPr>
          <w:trHeight w:val="20"/>
          <w:jc w:val="center"/>
        </w:trPr>
        <w:tc>
          <w:tcPr>
            <w:tcW w:w="595" w:type="dxa"/>
          </w:tcPr>
          <w:p w:rsidR="00C55A5D" w:rsidRPr="000E0FFD" w:rsidRDefault="00C55A5D" w:rsidP="00C55A5D">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C55A5D" w:rsidRPr="00864B15" w:rsidRDefault="00C55A5D" w:rsidP="00B23C28">
            <w:pPr>
              <w:spacing w:after="0" w:line="240" w:lineRule="auto"/>
              <w:rPr>
                <w:rFonts w:ascii="Times New Roman" w:hAnsi="Times New Roman"/>
              </w:rPr>
            </w:pPr>
            <w:r w:rsidRPr="00864B15">
              <w:rPr>
                <w:rFonts w:ascii="Times New Roman" w:hAnsi="Times New Roman"/>
              </w:rPr>
              <w:t xml:space="preserve">Магистраль соединительная для введения </w:t>
            </w:r>
            <w:proofErr w:type="spellStart"/>
            <w:r w:rsidRPr="00864B15">
              <w:rPr>
                <w:rFonts w:ascii="Times New Roman" w:hAnsi="Times New Roman"/>
              </w:rPr>
              <w:t>рентгеноконтрастного</w:t>
            </w:r>
            <w:proofErr w:type="spellEnd"/>
            <w:r w:rsidRPr="00864B15">
              <w:rPr>
                <w:rFonts w:ascii="Times New Roman" w:hAnsi="Times New Roman"/>
              </w:rPr>
              <w:t xml:space="preserve"> вещества</w:t>
            </w:r>
          </w:p>
        </w:tc>
        <w:tc>
          <w:tcPr>
            <w:tcW w:w="5462" w:type="dxa"/>
          </w:tcPr>
          <w:p w:rsidR="00C55A5D" w:rsidRDefault="00C55A5D" w:rsidP="00B23C28">
            <w:pPr>
              <w:spacing w:after="0" w:line="240" w:lineRule="auto"/>
              <w:rPr>
                <w:rFonts w:ascii="Times New Roman" w:hAnsi="Times New Roman"/>
              </w:rPr>
            </w:pPr>
            <w:r w:rsidRPr="00864B15">
              <w:rPr>
                <w:rFonts w:ascii="Times New Roman" w:hAnsi="Times New Roman"/>
              </w:rPr>
              <w:t xml:space="preserve">1.Полная совместимость и разрешение к применению, согласно руководству по эксплуатации инъекционной системы для КТ MEDRAD  </w:t>
            </w:r>
            <w:proofErr w:type="spellStart"/>
            <w:r w:rsidRPr="00864B15">
              <w:rPr>
                <w:rFonts w:ascii="Times New Roman" w:hAnsi="Times New Roman"/>
              </w:rPr>
              <w:t>Stellant</w:t>
            </w:r>
            <w:proofErr w:type="spellEnd"/>
            <w:r w:rsidRPr="00864B15">
              <w:rPr>
                <w:rFonts w:ascii="Times New Roman" w:hAnsi="Times New Roman"/>
              </w:rPr>
              <w:t>, поставляемого расходного материала, на совместимость с инъекционной системой,  имеющегося у Заказчика.</w:t>
            </w:r>
          </w:p>
          <w:p w:rsidR="00C55A5D" w:rsidRDefault="00C55A5D" w:rsidP="00B23C28">
            <w:pPr>
              <w:spacing w:after="0" w:line="240" w:lineRule="auto"/>
              <w:rPr>
                <w:rFonts w:ascii="Times New Roman" w:hAnsi="Times New Roman"/>
              </w:rPr>
            </w:pPr>
            <w:r w:rsidRPr="00864B15">
              <w:rPr>
                <w:rFonts w:ascii="Times New Roman" w:hAnsi="Times New Roman"/>
              </w:rPr>
              <w:t xml:space="preserve">2. Соединительная линия - не менее  1шт. низкого давления для соединения шприцев с контрастом  и </w:t>
            </w:r>
            <w:proofErr w:type="spellStart"/>
            <w:r w:rsidRPr="00864B15">
              <w:rPr>
                <w:rFonts w:ascii="Times New Roman" w:hAnsi="Times New Roman"/>
              </w:rPr>
              <w:t>физраствором</w:t>
            </w:r>
            <w:proofErr w:type="spellEnd"/>
            <w:r w:rsidRPr="00864B15">
              <w:rPr>
                <w:rFonts w:ascii="Times New Roman" w:hAnsi="Times New Roman"/>
              </w:rPr>
              <w:t xml:space="preserve"> с пациентом, обеспечивает безопасное введение растворов и исследование, длиной не менее 152см.</w:t>
            </w:r>
            <w:r>
              <w:rPr>
                <w:rFonts w:ascii="Times New Roman" w:hAnsi="Times New Roman"/>
              </w:rPr>
              <w:t xml:space="preserve"> </w:t>
            </w:r>
          </w:p>
          <w:p w:rsidR="00C55A5D" w:rsidRPr="00864B15" w:rsidRDefault="00C55A5D" w:rsidP="00B23C28">
            <w:pPr>
              <w:spacing w:after="0" w:line="240" w:lineRule="auto"/>
              <w:rPr>
                <w:rFonts w:ascii="Times New Roman" w:hAnsi="Times New Roman"/>
              </w:rPr>
            </w:pPr>
            <w:r w:rsidRPr="00864B15">
              <w:rPr>
                <w:rFonts w:ascii="Times New Roman" w:hAnsi="Times New Roman"/>
              </w:rPr>
              <w:t>3. Материал изготовления: - коннектора – поликарбонат, - трубки - поливинилхлорид</w:t>
            </w:r>
          </w:p>
          <w:p w:rsidR="00C55A5D" w:rsidRDefault="00C55A5D" w:rsidP="00B23C28">
            <w:pPr>
              <w:spacing w:after="0" w:line="240" w:lineRule="auto"/>
              <w:rPr>
                <w:rFonts w:ascii="Times New Roman" w:hAnsi="Times New Roman"/>
              </w:rPr>
            </w:pPr>
            <w:r w:rsidRPr="00864B15">
              <w:rPr>
                <w:rFonts w:ascii="Times New Roman" w:hAnsi="Times New Roman"/>
              </w:rPr>
              <w:t>- защитного колпачка – полипропилен. ( материалы, выдерживающие давление в системе).</w:t>
            </w:r>
          </w:p>
          <w:p w:rsidR="00C55A5D" w:rsidRPr="00864B15" w:rsidRDefault="00C55A5D" w:rsidP="00B23C28">
            <w:pPr>
              <w:spacing w:after="0" w:line="240" w:lineRule="auto"/>
              <w:rPr>
                <w:rFonts w:ascii="Times New Roman" w:hAnsi="Times New Roman"/>
              </w:rPr>
            </w:pPr>
            <w:r w:rsidRPr="00864B15">
              <w:rPr>
                <w:rFonts w:ascii="Times New Roman" w:hAnsi="Times New Roman"/>
              </w:rPr>
              <w:t>4.Комплектация:</w:t>
            </w:r>
          </w:p>
          <w:p w:rsidR="00C55A5D" w:rsidRDefault="00C55A5D" w:rsidP="00B23C28">
            <w:pPr>
              <w:spacing w:after="0" w:line="240" w:lineRule="auto"/>
              <w:rPr>
                <w:rFonts w:ascii="Times New Roman" w:hAnsi="Times New Roman"/>
              </w:rPr>
            </w:pPr>
            <w:r w:rsidRPr="00864B15">
              <w:rPr>
                <w:rFonts w:ascii="Times New Roman" w:hAnsi="Times New Roman"/>
              </w:rPr>
              <w:t xml:space="preserve">- трубка соединительная низкого давления, - трубка для сбора излишков контраста для </w:t>
            </w:r>
            <w:proofErr w:type="spellStart"/>
            <w:r w:rsidRPr="00864B15">
              <w:rPr>
                <w:rFonts w:ascii="Times New Roman" w:hAnsi="Times New Roman"/>
              </w:rPr>
              <w:t>избежания</w:t>
            </w:r>
            <w:proofErr w:type="spellEnd"/>
            <w:r w:rsidRPr="00864B15">
              <w:rPr>
                <w:rFonts w:ascii="Times New Roman" w:hAnsi="Times New Roman"/>
              </w:rPr>
              <w:t xml:space="preserve"> попадания излишков контраста  на пациента, окружающие материалы.</w:t>
            </w:r>
          </w:p>
          <w:p w:rsidR="00C55A5D" w:rsidRDefault="00C55A5D" w:rsidP="00B23C28">
            <w:pPr>
              <w:spacing w:after="0" w:line="240" w:lineRule="auto"/>
              <w:rPr>
                <w:rFonts w:ascii="Times New Roman" w:hAnsi="Times New Roman"/>
              </w:rPr>
            </w:pPr>
            <w:r w:rsidRPr="00864B15">
              <w:rPr>
                <w:rFonts w:ascii="Times New Roman" w:hAnsi="Times New Roman"/>
              </w:rPr>
              <w:t>5. Максимальное расчётное давление, не менее 400psi \ 2 758 кПа. Характеристика предусмотрена производителем инъекционной системы</w:t>
            </w:r>
          </w:p>
          <w:p w:rsidR="00C55A5D" w:rsidRPr="00864B15" w:rsidRDefault="00C55A5D" w:rsidP="00B23C28">
            <w:pPr>
              <w:spacing w:after="0" w:line="240" w:lineRule="auto"/>
              <w:rPr>
                <w:rFonts w:ascii="Times New Roman" w:hAnsi="Times New Roman"/>
              </w:rPr>
            </w:pPr>
            <w:r w:rsidRPr="00864B15">
              <w:rPr>
                <w:rFonts w:ascii="Times New Roman" w:hAnsi="Times New Roman"/>
              </w:rPr>
              <w:t xml:space="preserve">6. Предельная скорость введения контрастного вещества, не менее 10,0 мл/с. для правильной </w:t>
            </w:r>
            <w:proofErr w:type="spellStart"/>
            <w:r w:rsidRPr="00864B15">
              <w:rPr>
                <w:rFonts w:ascii="Times New Roman" w:hAnsi="Times New Roman"/>
              </w:rPr>
              <w:t>инфузии</w:t>
            </w:r>
            <w:proofErr w:type="spellEnd"/>
            <w:r w:rsidRPr="00864B15">
              <w:rPr>
                <w:rFonts w:ascii="Times New Roman" w:hAnsi="Times New Roman"/>
              </w:rPr>
              <w:t xml:space="preserve"> в условиях давления.</w:t>
            </w:r>
          </w:p>
          <w:p w:rsidR="000F23EA" w:rsidRDefault="00C55A5D" w:rsidP="00B23C28">
            <w:pPr>
              <w:spacing w:after="0" w:line="240" w:lineRule="auto"/>
            </w:pPr>
            <w:r w:rsidRPr="00864B15">
              <w:rPr>
                <w:rFonts w:ascii="Times New Roman" w:hAnsi="Times New Roman"/>
              </w:rPr>
              <w:t>Стерильно. Индивидуально упаковано.</w:t>
            </w:r>
            <w:r w:rsidR="000F23EA">
              <w:t xml:space="preserve"> </w:t>
            </w:r>
          </w:p>
          <w:p w:rsidR="00C55A5D" w:rsidRPr="00864B15" w:rsidRDefault="000F23EA" w:rsidP="00B23C28">
            <w:pPr>
              <w:spacing w:after="0" w:line="240" w:lineRule="auto"/>
              <w:rPr>
                <w:rFonts w:ascii="Times New Roman" w:hAnsi="Times New Roman"/>
              </w:rPr>
            </w:pPr>
            <w:r w:rsidRPr="000F23EA">
              <w:rPr>
                <w:rFonts w:ascii="Times New Roman" w:hAnsi="Times New Roman"/>
              </w:rPr>
              <w:t>Эквивалент не допускается в связи с необходимостью обеспечения взаимодействия закупаемых товаров с оборудованием, используемым заказчиком, в соответствии с технической документацией на указанное оборудование (на основании пункта 1 части 1 статьи 33 Федерального закона от 05.04.2013 №44-ФЗ).</w:t>
            </w:r>
          </w:p>
        </w:tc>
        <w:tc>
          <w:tcPr>
            <w:tcW w:w="708" w:type="dxa"/>
          </w:tcPr>
          <w:p w:rsidR="00C55A5D" w:rsidRPr="00864B15" w:rsidRDefault="00C55A5D" w:rsidP="00B23C28">
            <w:pPr>
              <w:spacing w:after="0" w:line="240" w:lineRule="auto"/>
              <w:jc w:val="center"/>
              <w:rPr>
                <w:rFonts w:ascii="Times New Roman" w:hAnsi="Times New Roman"/>
                <w:lang w:eastAsia="ru-RU"/>
              </w:rPr>
            </w:pPr>
            <w:r w:rsidRPr="00864B15">
              <w:rPr>
                <w:rFonts w:ascii="Times New Roman" w:hAnsi="Times New Roman"/>
                <w:lang w:eastAsia="ru-RU"/>
              </w:rPr>
              <w:t>400</w:t>
            </w:r>
          </w:p>
        </w:tc>
        <w:tc>
          <w:tcPr>
            <w:tcW w:w="709" w:type="dxa"/>
          </w:tcPr>
          <w:p w:rsidR="00C55A5D" w:rsidRPr="00864B15" w:rsidRDefault="00C55A5D" w:rsidP="00B23C28">
            <w:pPr>
              <w:spacing w:after="0" w:line="240" w:lineRule="auto"/>
              <w:jc w:val="center"/>
              <w:rPr>
                <w:rFonts w:ascii="Times New Roman" w:hAnsi="Times New Roman"/>
                <w:lang w:eastAsia="ru-RU"/>
              </w:rPr>
            </w:pPr>
            <w:r w:rsidRPr="00864B15">
              <w:rPr>
                <w:rFonts w:ascii="Times New Roman" w:hAnsi="Times New Roman"/>
                <w:lang w:eastAsia="ru-RU"/>
              </w:rPr>
              <w:t>шт.</w:t>
            </w:r>
          </w:p>
        </w:tc>
        <w:tc>
          <w:tcPr>
            <w:tcW w:w="1559" w:type="dxa"/>
          </w:tcPr>
          <w:p w:rsidR="00C55A5D" w:rsidRPr="00864B15" w:rsidRDefault="00C55A5D" w:rsidP="00B23C28">
            <w:pPr>
              <w:spacing w:after="0" w:line="240" w:lineRule="auto"/>
              <w:jc w:val="center"/>
              <w:rPr>
                <w:rFonts w:ascii="Times New Roman" w:hAnsi="Times New Roman"/>
                <w:lang w:eastAsia="ru-RU"/>
              </w:rPr>
            </w:pPr>
            <w:r w:rsidRPr="00864B15">
              <w:rPr>
                <w:rFonts w:ascii="Times New Roman" w:hAnsi="Times New Roman"/>
                <w:lang w:eastAsia="ru-RU"/>
              </w:rPr>
              <w:t>32.50.13.110-00005236*</w:t>
            </w:r>
          </w:p>
        </w:tc>
        <w:tc>
          <w:tcPr>
            <w:tcW w:w="1276"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851"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1134"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949"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r>
      <w:tr w:rsidR="00C55A5D" w:rsidRPr="000E0FFD" w:rsidTr="00B23C28">
        <w:trPr>
          <w:trHeight w:val="20"/>
          <w:jc w:val="center"/>
        </w:trPr>
        <w:tc>
          <w:tcPr>
            <w:tcW w:w="595" w:type="dxa"/>
          </w:tcPr>
          <w:p w:rsidR="00C55A5D" w:rsidRPr="000E0FFD" w:rsidRDefault="00C55A5D" w:rsidP="00C55A5D">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C55A5D" w:rsidRPr="000F23EA" w:rsidRDefault="00C55A5D" w:rsidP="00B23C28">
            <w:pPr>
              <w:spacing w:after="0" w:line="240" w:lineRule="auto"/>
              <w:rPr>
                <w:rFonts w:ascii="Times New Roman" w:hAnsi="Times New Roman"/>
              </w:rPr>
            </w:pPr>
            <w:r w:rsidRPr="000F23EA">
              <w:rPr>
                <w:rFonts w:ascii="Times New Roman" w:hAnsi="Times New Roman"/>
              </w:rPr>
              <w:t>Шприц для системы инъекции контрастного вещества</w:t>
            </w:r>
          </w:p>
        </w:tc>
        <w:tc>
          <w:tcPr>
            <w:tcW w:w="5462" w:type="dxa"/>
          </w:tcPr>
          <w:p w:rsidR="00C55A5D" w:rsidRPr="000F23EA" w:rsidRDefault="00C55A5D" w:rsidP="00B23C28">
            <w:pPr>
              <w:spacing w:after="0" w:line="240" w:lineRule="auto"/>
              <w:rPr>
                <w:rFonts w:ascii="Times New Roman" w:hAnsi="Times New Roman"/>
              </w:rPr>
            </w:pPr>
            <w:r w:rsidRPr="000F23EA">
              <w:rPr>
                <w:rFonts w:ascii="Times New Roman" w:hAnsi="Times New Roman"/>
              </w:rPr>
              <w:t>Использование - одноразовое.</w:t>
            </w:r>
          </w:p>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Объём- ≥ 160.1  и  ≤ 200 Кубический сантиметр;^миллилитр </w:t>
            </w:r>
          </w:p>
          <w:p w:rsidR="00C55A5D" w:rsidRPr="000F23EA" w:rsidRDefault="00C55A5D" w:rsidP="00B23C28">
            <w:pPr>
              <w:spacing w:after="0" w:line="240" w:lineRule="auto"/>
              <w:rPr>
                <w:rFonts w:ascii="Times New Roman" w:hAnsi="Times New Roman"/>
              </w:rPr>
            </w:pPr>
            <w:r w:rsidRPr="000F23EA">
              <w:rPr>
                <w:rFonts w:ascii="Times New Roman" w:hAnsi="Times New Roman"/>
              </w:rPr>
              <w:t>Дополнительные требования к поставляемой продукции, не включенные в КТРУ**:</w:t>
            </w:r>
          </w:p>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К  устройству для внутривенного введения MEDRAD </w:t>
            </w:r>
            <w:proofErr w:type="spellStart"/>
            <w:r w:rsidRPr="000F23EA">
              <w:rPr>
                <w:rFonts w:ascii="Times New Roman" w:hAnsi="Times New Roman"/>
              </w:rPr>
              <w:t>Salient</w:t>
            </w:r>
            <w:proofErr w:type="spellEnd"/>
            <w:r w:rsidRPr="000F23EA">
              <w:rPr>
                <w:rFonts w:ascii="Times New Roman" w:hAnsi="Times New Roman"/>
              </w:rPr>
              <w:t xml:space="preserve"> , имеющемуся у Заказчика. </w:t>
            </w:r>
          </w:p>
          <w:p w:rsidR="00C55A5D" w:rsidRPr="000F23EA" w:rsidRDefault="00C55A5D" w:rsidP="00B23C28">
            <w:pPr>
              <w:spacing w:after="0" w:line="240" w:lineRule="auto"/>
              <w:rPr>
                <w:rFonts w:ascii="Times New Roman" w:hAnsi="Times New Roman"/>
              </w:rPr>
            </w:pPr>
            <w:r w:rsidRPr="000F23EA">
              <w:rPr>
                <w:rFonts w:ascii="Times New Roman" w:hAnsi="Times New Roman"/>
              </w:rPr>
              <w:t>Комплектация:</w:t>
            </w:r>
          </w:p>
          <w:p w:rsidR="00C55A5D" w:rsidRPr="000F23EA" w:rsidRDefault="00C55A5D" w:rsidP="00B23C28">
            <w:pPr>
              <w:spacing w:after="0" w:line="240" w:lineRule="auto"/>
              <w:rPr>
                <w:rFonts w:ascii="Times New Roman" w:hAnsi="Times New Roman"/>
              </w:rPr>
            </w:pPr>
            <w:r w:rsidRPr="000F23EA">
              <w:rPr>
                <w:rFonts w:ascii="Times New Roman" w:hAnsi="Times New Roman"/>
              </w:rPr>
              <w:t>-шприц, с пылезащитным колпачком и крышкой.</w:t>
            </w:r>
          </w:p>
          <w:p w:rsidR="00C55A5D" w:rsidRPr="000F23EA" w:rsidRDefault="00C55A5D" w:rsidP="00B23C28">
            <w:pPr>
              <w:spacing w:after="0" w:line="240" w:lineRule="auto"/>
              <w:rPr>
                <w:rFonts w:ascii="Times New Roman" w:hAnsi="Times New Roman"/>
              </w:rPr>
            </w:pPr>
            <w:r w:rsidRPr="000F23EA">
              <w:rPr>
                <w:rFonts w:ascii="Times New Roman" w:hAnsi="Times New Roman"/>
              </w:rPr>
              <w:t>- Силиконовая смазка на плунжере шприца (внутренняя часть) для улучшенного скольжения.</w:t>
            </w:r>
          </w:p>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-трубка быстрого  наполнения, быстрого и безопасного заполнения контраста в систему автоматического </w:t>
            </w:r>
            <w:proofErr w:type="spellStart"/>
            <w:r w:rsidRPr="000F23EA">
              <w:rPr>
                <w:rFonts w:ascii="Times New Roman" w:hAnsi="Times New Roman"/>
              </w:rPr>
              <w:t>иньектора</w:t>
            </w:r>
            <w:proofErr w:type="spellEnd"/>
            <w:r w:rsidRPr="000F23EA">
              <w:rPr>
                <w:rFonts w:ascii="Times New Roman" w:hAnsi="Times New Roman"/>
              </w:rPr>
              <w:t xml:space="preserve">. </w:t>
            </w:r>
          </w:p>
          <w:p w:rsidR="00C55A5D" w:rsidRPr="000F23EA" w:rsidRDefault="00C55A5D" w:rsidP="00B23C28">
            <w:pPr>
              <w:spacing w:after="0" w:line="240" w:lineRule="auto"/>
              <w:rPr>
                <w:rFonts w:ascii="Times New Roman" w:hAnsi="Times New Roman"/>
              </w:rPr>
            </w:pPr>
            <w:r w:rsidRPr="000F23EA">
              <w:rPr>
                <w:rFonts w:ascii="Times New Roman" w:hAnsi="Times New Roman"/>
              </w:rPr>
              <w:t>- индикаторы заполняемости шприцов  контрастом  и  физ. раствором для визуального контроля.</w:t>
            </w:r>
          </w:p>
          <w:p w:rsidR="00C55A5D" w:rsidRPr="000F23EA" w:rsidRDefault="00C55A5D" w:rsidP="00B23C28">
            <w:pPr>
              <w:spacing w:after="0" w:line="240" w:lineRule="auto"/>
              <w:rPr>
                <w:rFonts w:ascii="Times New Roman" w:hAnsi="Times New Roman"/>
              </w:rPr>
            </w:pPr>
            <w:r w:rsidRPr="000F23EA">
              <w:rPr>
                <w:rFonts w:ascii="Times New Roman" w:hAnsi="Times New Roman"/>
              </w:rPr>
              <w:t>Максимальное расчётное давление, не менее 300psi \ 2068 кПа. Характеристика предусмотрена производителем инъекционной системы. Стерильно. Индивидуально упаковано</w:t>
            </w:r>
            <w:r w:rsidR="000F23EA">
              <w:rPr>
                <w:rFonts w:ascii="Times New Roman" w:hAnsi="Times New Roman"/>
              </w:rPr>
              <w:t xml:space="preserve">. </w:t>
            </w:r>
            <w:r w:rsidR="000F23EA" w:rsidRPr="000F23EA">
              <w:rPr>
                <w:rFonts w:ascii="Times New Roman" w:hAnsi="Times New Roman"/>
              </w:rPr>
              <w:t>Эквивалент не допускается в связи с необходимостью обеспечения взаимодействия закупаемых товаров с оборудованием, используемым заказчиком, в соответствии с технической документацией на указанное оборудование (на основании пункта 1 части 1 статьи 33 Федерального закона от 05.04.2013 №44-ФЗ).</w:t>
            </w:r>
          </w:p>
        </w:tc>
        <w:tc>
          <w:tcPr>
            <w:tcW w:w="708" w:type="dxa"/>
          </w:tcPr>
          <w:p w:rsidR="00C55A5D" w:rsidRPr="000F23EA" w:rsidRDefault="00C55A5D" w:rsidP="00B23C28">
            <w:pPr>
              <w:spacing w:after="0" w:line="240" w:lineRule="auto"/>
              <w:jc w:val="center"/>
              <w:rPr>
                <w:rFonts w:ascii="Times New Roman" w:hAnsi="Times New Roman"/>
                <w:lang w:eastAsia="ru-RU"/>
              </w:rPr>
            </w:pPr>
            <w:r w:rsidRPr="000F23EA">
              <w:rPr>
                <w:rFonts w:ascii="Times New Roman" w:hAnsi="Times New Roman"/>
                <w:lang w:eastAsia="ru-RU"/>
              </w:rPr>
              <w:t>540</w:t>
            </w:r>
          </w:p>
        </w:tc>
        <w:tc>
          <w:tcPr>
            <w:tcW w:w="709" w:type="dxa"/>
          </w:tcPr>
          <w:p w:rsidR="00C55A5D" w:rsidRPr="000F23EA" w:rsidRDefault="00C55A5D" w:rsidP="00B23C28">
            <w:pPr>
              <w:spacing w:after="0" w:line="240" w:lineRule="auto"/>
              <w:jc w:val="center"/>
              <w:rPr>
                <w:rFonts w:ascii="Times New Roman" w:hAnsi="Times New Roman"/>
                <w:lang w:eastAsia="ru-RU"/>
              </w:rPr>
            </w:pPr>
            <w:r w:rsidRPr="000F23EA">
              <w:rPr>
                <w:rFonts w:ascii="Times New Roman" w:hAnsi="Times New Roman"/>
                <w:lang w:eastAsia="ru-RU"/>
              </w:rPr>
              <w:t>шт.</w:t>
            </w:r>
          </w:p>
        </w:tc>
        <w:tc>
          <w:tcPr>
            <w:tcW w:w="1559" w:type="dxa"/>
          </w:tcPr>
          <w:p w:rsidR="00C55A5D" w:rsidRPr="000F23EA" w:rsidRDefault="00C55A5D" w:rsidP="00B23C28">
            <w:pPr>
              <w:spacing w:after="0" w:line="240" w:lineRule="auto"/>
              <w:jc w:val="center"/>
              <w:rPr>
                <w:rFonts w:ascii="Times New Roman" w:hAnsi="Times New Roman"/>
                <w:lang w:eastAsia="ru-RU"/>
              </w:rPr>
            </w:pPr>
            <w:r w:rsidRPr="000F23EA">
              <w:rPr>
                <w:rFonts w:ascii="Times New Roman" w:hAnsi="Times New Roman"/>
                <w:lang w:eastAsia="ru-RU"/>
              </w:rPr>
              <w:t>32.50.13.110-01360</w:t>
            </w:r>
          </w:p>
        </w:tc>
        <w:tc>
          <w:tcPr>
            <w:tcW w:w="1276"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851"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1134"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949"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r>
      <w:tr w:rsidR="00C55A5D" w:rsidRPr="000E0FFD" w:rsidTr="00B23C28">
        <w:trPr>
          <w:trHeight w:val="20"/>
          <w:jc w:val="center"/>
        </w:trPr>
        <w:tc>
          <w:tcPr>
            <w:tcW w:w="595" w:type="dxa"/>
          </w:tcPr>
          <w:p w:rsidR="00C55A5D" w:rsidRPr="000E0FFD" w:rsidRDefault="00C55A5D" w:rsidP="00C55A5D">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Шприцы для </w:t>
            </w:r>
            <w:proofErr w:type="spellStart"/>
            <w:r w:rsidRPr="000F23EA">
              <w:rPr>
                <w:rFonts w:ascii="Times New Roman" w:hAnsi="Times New Roman"/>
              </w:rPr>
              <w:t>рентгенконтрастных</w:t>
            </w:r>
            <w:proofErr w:type="spellEnd"/>
            <w:r w:rsidRPr="000F23EA">
              <w:rPr>
                <w:rFonts w:ascii="Times New Roman" w:hAnsi="Times New Roman"/>
              </w:rPr>
              <w:t>/</w:t>
            </w:r>
            <w:proofErr w:type="spellStart"/>
            <w:r w:rsidRPr="000F23EA">
              <w:rPr>
                <w:rFonts w:ascii="Times New Roman" w:hAnsi="Times New Roman"/>
              </w:rPr>
              <w:t>магнитноконтрастных</w:t>
            </w:r>
            <w:proofErr w:type="spellEnd"/>
            <w:r w:rsidRPr="000F23EA">
              <w:rPr>
                <w:rFonts w:ascii="Times New Roman" w:hAnsi="Times New Roman"/>
              </w:rPr>
              <w:t xml:space="preserve"> веществ и физиологического раствора к устройствам для внутривенного введения SDS-CTP-QFT</w:t>
            </w:r>
          </w:p>
        </w:tc>
        <w:tc>
          <w:tcPr>
            <w:tcW w:w="5462" w:type="dxa"/>
          </w:tcPr>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Шприцы  для </w:t>
            </w:r>
            <w:proofErr w:type="spellStart"/>
            <w:r w:rsidRPr="000F23EA">
              <w:rPr>
                <w:rFonts w:ascii="Times New Roman" w:hAnsi="Times New Roman"/>
              </w:rPr>
              <w:t>рентгенконтрастных</w:t>
            </w:r>
            <w:proofErr w:type="spellEnd"/>
            <w:r w:rsidRPr="000F23EA">
              <w:rPr>
                <w:rFonts w:ascii="Times New Roman" w:hAnsi="Times New Roman"/>
              </w:rPr>
              <w:t>/</w:t>
            </w:r>
            <w:proofErr w:type="spellStart"/>
            <w:r w:rsidRPr="000F23EA">
              <w:rPr>
                <w:rFonts w:ascii="Times New Roman" w:hAnsi="Times New Roman"/>
              </w:rPr>
              <w:t>магнитоконтрастных</w:t>
            </w:r>
            <w:proofErr w:type="spellEnd"/>
            <w:r w:rsidRPr="000F23EA">
              <w:rPr>
                <w:rFonts w:ascii="Times New Roman" w:hAnsi="Times New Roman"/>
              </w:rPr>
              <w:t xml:space="preserve">  веществ и физиологического раствора к системе инъекционной для КТ </w:t>
            </w:r>
            <w:proofErr w:type="spellStart"/>
            <w:r w:rsidRPr="000F23EA">
              <w:rPr>
                <w:rFonts w:ascii="Times New Roman" w:hAnsi="Times New Roman"/>
              </w:rPr>
              <w:t>Stellant</w:t>
            </w:r>
            <w:proofErr w:type="spellEnd"/>
            <w:r w:rsidRPr="000F23EA">
              <w:rPr>
                <w:rFonts w:ascii="Times New Roman" w:hAnsi="Times New Roman"/>
              </w:rPr>
              <w:t xml:space="preserve">, имеющемуся у Заказчика. </w:t>
            </w:r>
          </w:p>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1.В наборе два шприца одинакового объема. Один для заполнения </w:t>
            </w:r>
            <w:proofErr w:type="spellStart"/>
            <w:r w:rsidRPr="000F23EA">
              <w:rPr>
                <w:rFonts w:ascii="Times New Roman" w:hAnsi="Times New Roman"/>
              </w:rPr>
              <w:t>рентгеноконтрастного</w:t>
            </w:r>
            <w:proofErr w:type="spellEnd"/>
            <w:r w:rsidRPr="000F23EA">
              <w:rPr>
                <w:rFonts w:ascii="Times New Roman" w:hAnsi="Times New Roman"/>
              </w:rPr>
              <w:t xml:space="preserve"> вещества, другой для заполнения физиологического раствора, совместимые с устройством для внутривенного введения </w:t>
            </w:r>
            <w:proofErr w:type="spellStart"/>
            <w:r w:rsidRPr="000F23EA">
              <w:rPr>
                <w:rFonts w:ascii="Times New Roman" w:hAnsi="Times New Roman"/>
              </w:rPr>
              <w:t>Stellant</w:t>
            </w:r>
            <w:proofErr w:type="spellEnd"/>
            <w:r w:rsidRPr="000F23EA">
              <w:rPr>
                <w:rFonts w:ascii="Times New Roman" w:hAnsi="Times New Roman"/>
              </w:rPr>
              <w:t xml:space="preserve"> D CT, имеющегося у Заказчика. </w:t>
            </w:r>
          </w:p>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2.Цилиндры шприцов  из полипропилена  с  полимерным  плунжером с резиновой манжетой  и силиконовой смазкой-обеспечивает плотное прилегание резинового плунжера к стенкам шприца, в результате чего невозможно протекание контрастного средства во внутреннюю механическую часть </w:t>
            </w:r>
            <w:proofErr w:type="spellStart"/>
            <w:r w:rsidRPr="000F23EA">
              <w:rPr>
                <w:rFonts w:ascii="Times New Roman" w:hAnsi="Times New Roman"/>
              </w:rPr>
              <w:t>инъекторной</w:t>
            </w:r>
            <w:proofErr w:type="spellEnd"/>
            <w:r w:rsidRPr="000F23EA">
              <w:rPr>
                <w:rFonts w:ascii="Times New Roman" w:hAnsi="Times New Roman"/>
              </w:rPr>
              <w:t xml:space="preserve"> головы. </w:t>
            </w:r>
          </w:p>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3.Соединительная линия - не менее  1шт. низкого давления для соединения шприцев с контрастом  и </w:t>
            </w:r>
            <w:proofErr w:type="spellStart"/>
            <w:r w:rsidRPr="000F23EA">
              <w:rPr>
                <w:rFonts w:ascii="Times New Roman" w:hAnsi="Times New Roman"/>
              </w:rPr>
              <w:t>физраствором</w:t>
            </w:r>
            <w:proofErr w:type="spellEnd"/>
            <w:r w:rsidRPr="000F23EA">
              <w:rPr>
                <w:rFonts w:ascii="Times New Roman" w:hAnsi="Times New Roman"/>
              </w:rPr>
              <w:t xml:space="preserve"> с пациентом, обеспечивает безопасное введение растворов и исследование, длиной не менее 150 см. </w:t>
            </w:r>
          </w:p>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4.Т-образный  коннектор, не менее 1шт.  для одновременного соединения шприцев с контрастом и </w:t>
            </w:r>
            <w:proofErr w:type="spellStart"/>
            <w:r w:rsidRPr="000F23EA">
              <w:rPr>
                <w:rFonts w:ascii="Times New Roman" w:hAnsi="Times New Roman"/>
              </w:rPr>
              <w:t>физраствором</w:t>
            </w:r>
            <w:proofErr w:type="spellEnd"/>
            <w:r w:rsidRPr="000F23EA">
              <w:rPr>
                <w:rFonts w:ascii="Times New Roman" w:hAnsi="Times New Roman"/>
              </w:rPr>
              <w:t xml:space="preserve"> у 2-х колбовых </w:t>
            </w:r>
            <w:proofErr w:type="spellStart"/>
            <w:r w:rsidRPr="000F23EA">
              <w:rPr>
                <w:rFonts w:ascii="Times New Roman" w:hAnsi="Times New Roman"/>
              </w:rPr>
              <w:t>иньекторов</w:t>
            </w:r>
            <w:proofErr w:type="spellEnd"/>
            <w:r w:rsidRPr="000F23EA">
              <w:rPr>
                <w:rFonts w:ascii="Times New Roman" w:hAnsi="Times New Roman"/>
              </w:rPr>
              <w:t xml:space="preserve">. </w:t>
            </w:r>
          </w:p>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5.Трубочки – не менее 1шт - для  быстрого и безопасного заполнения контраста в систему автоматического </w:t>
            </w:r>
            <w:proofErr w:type="spellStart"/>
            <w:r w:rsidRPr="000F23EA">
              <w:rPr>
                <w:rFonts w:ascii="Times New Roman" w:hAnsi="Times New Roman"/>
              </w:rPr>
              <w:t>иньектора</w:t>
            </w:r>
            <w:proofErr w:type="spellEnd"/>
            <w:r w:rsidRPr="000F23EA">
              <w:rPr>
                <w:rFonts w:ascii="Times New Roman" w:hAnsi="Times New Roman"/>
              </w:rPr>
              <w:t xml:space="preserve">. </w:t>
            </w:r>
          </w:p>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6.Наличие индикаторов заполняемости шприцов  контрастом  и  физиологическим раствором  для визуального контроля  наличия жидкости в шприце и предотвращения введения воздуха. </w:t>
            </w:r>
          </w:p>
          <w:p w:rsidR="00C55A5D" w:rsidRDefault="00C55A5D" w:rsidP="00B23C28">
            <w:pPr>
              <w:spacing w:after="0" w:line="240" w:lineRule="auto"/>
              <w:rPr>
                <w:rFonts w:ascii="Times New Roman" w:hAnsi="Times New Roman"/>
              </w:rPr>
            </w:pPr>
            <w:r w:rsidRPr="000F23EA">
              <w:rPr>
                <w:rFonts w:ascii="Times New Roman" w:hAnsi="Times New Roman"/>
              </w:rPr>
              <w:t xml:space="preserve">7.Трубка  для  сбора избытка  контраста, длиной  не  более 10 см для </w:t>
            </w:r>
            <w:proofErr w:type="spellStart"/>
            <w:r w:rsidRPr="000F23EA">
              <w:rPr>
                <w:rFonts w:ascii="Times New Roman" w:hAnsi="Times New Roman"/>
              </w:rPr>
              <w:t>избежания</w:t>
            </w:r>
            <w:proofErr w:type="spellEnd"/>
            <w:r w:rsidRPr="000F23EA">
              <w:rPr>
                <w:rFonts w:ascii="Times New Roman" w:hAnsi="Times New Roman"/>
              </w:rPr>
              <w:t xml:space="preserve"> попадания излишков контраста  на пациента, окружающие материалы.   Не содержит ПВХ. Стерильно. Индивидуально упаковано</w:t>
            </w:r>
            <w:r w:rsidR="000F23EA">
              <w:rPr>
                <w:rFonts w:ascii="Times New Roman" w:hAnsi="Times New Roman"/>
              </w:rPr>
              <w:t>.</w:t>
            </w:r>
          </w:p>
          <w:p w:rsidR="000F23EA" w:rsidRPr="000F23EA" w:rsidRDefault="000F23EA" w:rsidP="00B23C28">
            <w:pPr>
              <w:spacing w:after="0" w:line="240" w:lineRule="auto"/>
              <w:rPr>
                <w:rFonts w:ascii="Times New Roman" w:hAnsi="Times New Roman"/>
              </w:rPr>
            </w:pPr>
            <w:r w:rsidRPr="000F23EA">
              <w:rPr>
                <w:rFonts w:ascii="Times New Roman" w:hAnsi="Times New Roman"/>
              </w:rPr>
              <w:t>Эквивалент не допускается в связи с необходимостью обеспечения взаимодействия закупаемых товаров с оборудованием, используемым заказчиком, в соответствии с технической документацией на указанное оборудование (на основании пункта 1 части 1 статьи 33 Федерального закона от 05.04.2013 №44-ФЗ).</w:t>
            </w:r>
          </w:p>
        </w:tc>
        <w:tc>
          <w:tcPr>
            <w:tcW w:w="708" w:type="dxa"/>
          </w:tcPr>
          <w:p w:rsidR="00C55A5D" w:rsidRPr="000F23EA" w:rsidRDefault="00C55A5D" w:rsidP="00B23C28">
            <w:pPr>
              <w:spacing w:after="0" w:line="240" w:lineRule="auto"/>
              <w:jc w:val="center"/>
              <w:rPr>
                <w:rFonts w:ascii="Times New Roman" w:hAnsi="Times New Roman"/>
                <w:lang w:eastAsia="ru-RU"/>
              </w:rPr>
            </w:pPr>
            <w:r w:rsidRPr="000F23EA">
              <w:rPr>
                <w:rFonts w:ascii="Times New Roman" w:hAnsi="Times New Roman"/>
                <w:lang w:eastAsia="ru-RU"/>
              </w:rPr>
              <w:t>250</w:t>
            </w:r>
          </w:p>
        </w:tc>
        <w:tc>
          <w:tcPr>
            <w:tcW w:w="709" w:type="dxa"/>
          </w:tcPr>
          <w:p w:rsidR="00C55A5D" w:rsidRPr="000F23EA" w:rsidRDefault="00C55A5D" w:rsidP="00B23C28">
            <w:pPr>
              <w:spacing w:after="0" w:line="240" w:lineRule="auto"/>
              <w:jc w:val="center"/>
              <w:rPr>
                <w:rFonts w:ascii="Times New Roman" w:hAnsi="Times New Roman"/>
                <w:lang w:eastAsia="ru-RU"/>
              </w:rPr>
            </w:pPr>
            <w:r w:rsidRPr="000F23EA">
              <w:rPr>
                <w:rFonts w:ascii="Times New Roman" w:hAnsi="Times New Roman"/>
                <w:lang w:eastAsia="ru-RU"/>
              </w:rPr>
              <w:t>шт.</w:t>
            </w:r>
          </w:p>
        </w:tc>
        <w:tc>
          <w:tcPr>
            <w:tcW w:w="1559" w:type="dxa"/>
          </w:tcPr>
          <w:p w:rsidR="00C55A5D" w:rsidRPr="00864B15" w:rsidRDefault="00C55A5D" w:rsidP="00B23C28">
            <w:pPr>
              <w:spacing w:after="0" w:line="240" w:lineRule="auto"/>
              <w:jc w:val="center"/>
              <w:rPr>
                <w:rFonts w:ascii="Times New Roman" w:hAnsi="Times New Roman"/>
                <w:lang w:eastAsia="ru-RU"/>
              </w:rPr>
            </w:pPr>
            <w:r w:rsidRPr="000F23EA">
              <w:rPr>
                <w:rFonts w:ascii="Times New Roman" w:hAnsi="Times New Roman"/>
                <w:lang w:eastAsia="ru-RU"/>
              </w:rPr>
              <w:t>32.50.13.110</w:t>
            </w:r>
          </w:p>
        </w:tc>
        <w:tc>
          <w:tcPr>
            <w:tcW w:w="1276"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851"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1134"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949"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r>
      <w:tr w:rsidR="00C55A5D" w:rsidRPr="000E0FFD" w:rsidTr="00B23C28">
        <w:trPr>
          <w:trHeight w:val="20"/>
          <w:jc w:val="center"/>
        </w:trPr>
        <w:tc>
          <w:tcPr>
            <w:tcW w:w="595" w:type="dxa"/>
          </w:tcPr>
          <w:p w:rsidR="00C55A5D" w:rsidRPr="000E0FFD" w:rsidRDefault="00C55A5D" w:rsidP="00C55A5D">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Шприцы для </w:t>
            </w:r>
            <w:proofErr w:type="spellStart"/>
            <w:r w:rsidRPr="000F23EA">
              <w:rPr>
                <w:rFonts w:ascii="Times New Roman" w:hAnsi="Times New Roman"/>
              </w:rPr>
              <w:t>рентгенконтрастных</w:t>
            </w:r>
            <w:proofErr w:type="spellEnd"/>
            <w:r w:rsidRPr="000F23EA">
              <w:rPr>
                <w:rFonts w:ascii="Times New Roman" w:hAnsi="Times New Roman"/>
              </w:rPr>
              <w:t>/</w:t>
            </w:r>
            <w:proofErr w:type="spellStart"/>
            <w:r w:rsidRPr="000F23EA">
              <w:rPr>
                <w:rFonts w:ascii="Times New Roman" w:hAnsi="Times New Roman"/>
              </w:rPr>
              <w:t>магнитноконтрастных</w:t>
            </w:r>
            <w:proofErr w:type="spellEnd"/>
            <w:r w:rsidRPr="000F23EA">
              <w:rPr>
                <w:rFonts w:ascii="Times New Roman" w:hAnsi="Times New Roman"/>
              </w:rPr>
              <w:t xml:space="preserve"> веществ и физиологического раствора к устройствам для внутривенного введения SDS-CTP-SPK</w:t>
            </w:r>
          </w:p>
        </w:tc>
        <w:tc>
          <w:tcPr>
            <w:tcW w:w="5462" w:type="dxa"/>
          </w:tcPr>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Шприцы  SDS-CTP-SPK для   </w:t>
            </w:r>
            <w:proofErr w:type="spellStart"/>
            <w:r w:rsidRPr="000F23EA">
              <w:rPr>
                <w:rFonts w:ascii="Times New Roman" w:hAnsi="Times New Roman"/>
              </w:rPr>
              <w:t>рентгенконтрастных</w:t>
            </w:r>
            <w:proofErr w:type="spellEnd"/>
            <w:r w:rsidRPr="000F23EA">
              <w:rPr>
                <w:rFonts w:ascii="Times New Roman" w:hAnsi="Times New Roman"/>
              </w:rPr>
              <w:t>/</w:t>
            </w:r>
            <w:proofErr w:type="spellStart"/>
            <w:r w:rsidRPr="000F23EA">
              <w:rPr>
                <w:rFonts w:ascii="Times New Roman" w:hAnsi="Times New Roman"/>
              </w:rPr>
              <w:t>магнитоконтрастных</w:t>
            </w:r>
            <w:proofErr w:type="spellEnd"/>
            <w:r w:rsidRPr="000F23EA">
              <w:rPr>
                <w:rFonts w:ascii="Times New Roman" w:hAnsi="Times New Roman"/>
              </w:rPr>
              <w:t xml:space="preserve">  веществ и физиологического раствора к системе инъекционной для КТ </w:t>
            </w:r>
            <w:proofErr w:type="spellStart"/>
            <w:r w:rsidRPr="000F23EA">
              <w:rPr>
                <w:rFonts w:ascii="Times New Roman" w:hAnsi="Times New Roman"/>
              </w:rPr>
              <w:t>Stellant</w:t>
            </w:r>
            <w:proofErr w:type="spellEnd"/>
          </w:p>
          <w:p w:rsidR="00C55A5D" w:rsidRPr="000F23EA" w:rsidRDefault="00C55A5D" w:rsidP="00B23C28">
            <w:pPr>
              <w:spacing w:after="0" w:line="240" w:lineRule="auto"/>
              <w:rPr>
                <w:rFonts w:ascii="Times New Roman" w:hAnsi="Times New Roman"/>
              </w:rPr>
            </w:pPr>
            <w:r w:rsidRPr="000F23EA">
              <w:rPr>
                <w:rFonts w:ascii="Times New Roman" w:hAnsi="Times New Roman"/>
              </w:rPr>
              <w:t>1. Индикаторы заполняемости шприцов  контрастом  и  физиологическим раствором.</w:t>
            </w:r>
          </w:p>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2.  Цилиндр шприца из полипропилена с полимерным плунжером с резиновой манжетой и силиконовой смазкой-обеспечивает плотное прилегание резинового плунжера к стенкам шприца, в результате чего невозможно протекание контрастного средства во внутреннюю механическую часть </w:t>
            </w:r>
            <w:proofErr w:type="spellStart"/>
            <w:r w:rsidRPr="000F23EA">
              <w:rPr>
                <w:rFonts w:ascii="Times New Roman" w:hAnsi="Times New Roman"/>
              </w:rPr>
              <w:t>инъекторной</w:t>
            </w:r>
            <w:proofErr w:type="spellEnd"/>
            <w:r w:rsidRPr="000F23EA">
              <w:rPr>
                <w:rFonts w:ascii="Times New Roman" w:hAnsi="Times New Roman"/>
              </w:rPr>
              <w:t xml:space="preserve"> головы. 3.  Игла –1шт. для </w:t>
            </w:r>
            <w:proofErr w:type="spellStart"/>
            <w:r w:rsidRPr="000F23EA">
              <w:rPr>
                <w:rFonts w:ascii="Times New Roman" w:hAnsi="Times New Roman"/>
              </w:rPr>
              <w:t>рентгеноконтрастного</w:t>
            </w:r>
            <w:proofErr w:type="spellEnd"/>
            <w:r w:rsidRPr="000F23EA">
              <w:rPr>
                <w:rFonts w:ascii="Times New Roman" w:hAnsi="Times New Roman"/>
              </w:rPr>
              <w:t xml:space="preserve"> вещества.</w:t>
            </w:r>
          </w:p>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4.   Трубочки –1шт. - для быстрого и безопасного заполнения контраста в систему автоматического </w:t>
            </w:r>
            <w:proofErr w:type="spellStart"/>
            <w:r w:rsidRPr="000F23EA">
              <w:rPr>
                <w:rFonts w:ascii="Times New Roman" w:hAnsi="Times New Roman"/>
              </w:rPr>
              <w:t>иньектора</w:t>
            </w:r>
            <w:proofErr w:type="spellEnd"/>
            <w:r w:rsidRPr="000F23EA">
              <w:rPr>
                <w:rFonts w:ascii="Times New Roman" w:hAnsi="Times New Roman"/>
              </w:rPr>
              <w:t>.</w:t>
            </w:r>
          </w:p>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5.  Соединительная линия - 1шт. низкого давления для соединения шприцев с контрастом и </w:t>
            </w:r>
            <w:proofErr w:type="spellStart"/>
            <w:r w:rsidRPr="000F23EA">
              <w:rPr>
                <w:rFonts w:ascii="Times New Roman" w:hAnsi="Times New Roman"/>
              </w:rPr>
              <w:t>физраствором</w:t>
            </w:r>
            <w:proofErr w:type="spellEnd"/>
            <w:r w:rsidRPr="000F23EA">
              <w:rPr>
                <w:rFonts w:ascii="Times New Roman" w:hAnsi="Times New Roman"/>
              </w:rPr>
              <w:t xml:space="preserve"> с пациентом, обеспечивает безопасное введение растворов и исследование, длиной не менее  150 см.</w:t>
            </w:r>
          </w:p>
          <w:p w:rsidR="00C55A5D" w:rsidRPr="000F23EA" w:rsidRDefault="00C55A5D" w:rsidP="00B23C28">
            <w:pPr>
              <w:spacing w:after="0" w:line="240" w:lineRule="auto"/>
              <w:rPr>
                <w:rFonts w:ascii="Times New Roman" w:hAnsi="Times New Roman"/>
              </w:rPr>
            </w:pPr>
            <w:r w:rsidRPr="000F23EA">
              <w:rPr>
                <w:rFonts w:ascii="Times New Roman" w:hAnsi="Times New Roman"/>
              </w:rPr>
              <w:t xml:space="preserve">6. Посадочное гнездо плунжера. Конусовидный плунжер  с резинкой по краю, которая обеспечивает высокую герметичность и плавный ход внутри шприца. С наружной стороны плунжера расположен  замок для фиксации с поршнем </w:t>
            </w:r>
            <w:proofErr w:type="spellStart"/>
            <w:r w:rsidRPr="000F23EA">
              <w:rPr>
                <w:rFonts w:ascii="Times New Roman" w:hAnsi="Times New Roman"/>
              </w:rPr>
              <w:t>инъектора</w:t>
            </w:r>
            <w:proofErr w:type="spellEnd"/>
            <w:r w:rsidRPr="000F23EA">
              <w:rPr>
                <w:rFonts w:ascii="Times New Roman" w:hAnsi="Times New Roman"/>
              </w:rPr>
              <w:t>. Углубление с наружной стороны состоит из 3 окружностей. Диаметр 1-ой окружности равен не более  27 мм, 2- не более 30 мм, 3- не более 40 мм. Индивидуально упаковано. Не содержит ПВХ. Стерильно. Индивидуально упаковано.</w:t>
            </w:r>
            <w:r w:rsidR="000F23EA">
              <w:t xml:space="preserve"> </w:t>
            </w:r>
            <w:r w:rsidR="000F23EA" w:rsidRPr="000F23EA">
              <w:rPr>
                <w:rFonts w:ascii="Times New Roman" w:hAnsi="Times New Roman"/>
              </w:rPr>
              <w:t>Эквивалент не допускается в связи с необходимостью обеспечения взаимодействия закупаемых товаров с оборудованием, используемым заказчиком, в соответствии с технической документацией на указанное оборудование (на основании пункта 1 части 1 статьи 33 Федерального закона от 05.04.2013 №44-ФЗ).</w:t>
            </w:r>
          </w:p>
        </w:tc>
        <w:tc>
          <w:tcPr>
            <w:tcW w:w="708" w:type="dxa"/>
          </w:tcPr>
          <w:p w:rsidR="00C55A5D" w:rsidRPr="000F23EA" w:rsidRDefault="00C55A5D" w:rsidP="00B23C28">
            <w:pPr>
              <w:spacing w:after="0" w:line="240" w:lineRule="auto"/>
              <w:jc w:val="center"/>
              <w:rPr>
                <w:rFonts w:ascii="Times New Roman" w:hAnsi="Times New Roman"/>
                <w:lang w:eastAsia="ru-RU"/>
              </w:rPr>
            </w:pPr>
            <w:r w:rsidRPr="000F23EA">
              <w:rPr>
                <w:rFonts w:ascii="Times New Roman" w:hAnsi="Times New Roman"/>
                <w:lang w:eastAsia="ru-RU"/>
              </w:rPr>
              <w:t>293</w:t>
            </w:r>
          </w:p>
        </w:tc>
        <w:tc>
          <w:tcPr>
            <w:tcW w:w="709" w:type="dxa"/>
          </w:tcPr>
          <w:p w:rsidR="00C55A5D" w:rsidRPr="000F23EA" w:rsidRDefault="00C55A5D" w:rsidP="00B23C28">
            <w:pPr>
              <w:spacing w:after="0" w:line="240" w:lineRule="auto"/>
              <w:jc w:val="center"/>
              <w:rPr>
                <w:rFonts w:ascii="Times New Roman" w:hAnsi="Times New Roman"/>
                <w:lang w:eastAsia="ru-RU"/>
              </w:rPr>
            </w:pPr>
            <w:r w:rsidRPr="000F23EA">
              <w:rPr>
                <w:rFonts w:ascii="Times New Roman" w:hAnsi="Times New Roman"/>
                <w:lang w:eastAsia="ru-RU"/>
              </w:rPr>
              <w:t>шт.</w:t>
            </w:r>
          </w:p>
        </w:tc>
        <w:tc>
          <w:tcPr>
            <w:tcW w:w="1559" w:type="dxa"/>
          </w:tcPr>
          <w:p w:rsidR="00C55A5D" w:rsidRPr="001C2210" w:rsidRDefault="00C55A5D" w:rsidP="00B23C28">
            <w:pPr>
              <w:spacing w:after="0" w:line="240" w:lineRule="auto"/>
              <w:jc w:val="center"/>
              <w:rPr>
                <w:rFonts w:ascii="Times New Roman" w:hAnsi="Times New Roman"/>
                <w:lang w:eastAsia="ru-RU"/>
              </w:rPr>
            </w:pPr>
            <w:r w:rsidRPr="000F23EA">
              <w:rPr>
                <w:rFonts w:ascii="Times New Roman" w:hAnsi="Times New Roman"/>
                <w:lang w:eastAsia="ru-RU"/>
              </w:rPr>
              <w:t>32.50.13.110</w:t>
            </w:r>
          </w:p>
        </w:tc>
        <w:tc>
          <w:tcPr>
            <w:tcW w:w="1276"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851"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1134"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949"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r>
      <w:tr w:rsidR="00C55A5D" w:rsidRPr="000E0FFD" w:rsidTr="00B23C28">
        <w:trPr>
          <w:trHeight w:val="20"/>
          <w:jc w:val="center"/>
        </w:trPr>
        <w:tc>
          <w:tcPr>
            <w:tcW w:w="595" w:type="dxa"/>
          </w:tcPr>
          <w:p w:rsidR="00C55A5D" w:rsidRPr="000E0FFD" w:rsidRDefault="00C55A5D" w:rsidP="00C55A5D">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C55A5D" w:rsidRPr="00864B15" w:rsidRDefault="00C55A5D" w:rsidP="00B23C28">
            <w:pPr>
              <w:spacing w:after="0" w:line="240" w:lineRule="auto"/>
              <w:rPr>
                <w:rFonts w:ascii="Times New Roman" w:hAnsi="Times New Roman"/>
                <w:highlight w:val="yellow"/>
              </w:rPr>
            </w:pPr>
            <w:r w:rsidRPr="001C2210">
              <w:rPr>
                <w:rFonts w:ascii="Times New Roman" w:hAnsi="Times New Roman"/>
              </w:rPr>
              <w:t xml:space="preserve">Магистраль соединительная для введения </w:t>
            </w:r>
            <w:proofErr w:type="spellStart"/>
            <w:r w:rsidRPr="001C2210">
              <w:rPr>
                <w:rFonts w:ascii="Times New Roman" w:hAnsi="Times New Roman"/>
              </w:rPr>
              <w:t>рентгеноконтрастного</w:t>
            </w:r>
            <w:proofErr w:type="spellEnd"/>
            <w:r w:rsidRPr="001C2210">
              <w:rPr>
                <w:rFonts w:ascii="Times New Roman" w:hAnsi="Times New Roman"/>
              </w:rPr>
              <w:t xml:space="preserve"> вещества</w:t>
            </w:r>
          </w:p>
        </w:tc>
        <w:tc>
          <w:tcPr>
            <w:tcW w:w="5462" w:type="dxa"/>
          </w:tcPr>
          <w:p w:rsidR="00C55A5D" w:rsidRPr="001C2210" w:rsidRDefault="00C55A5D" w:rsidP="00B23C28">
            <w:pPr>
              <w:spacing w:after="0" w:line="240" w:lineRule="auto"/>
              <w:rPr>
                <w:rFonts w:ascii="Times New Roman" w:hAnsi="Times New Roman"/>
              </w:rPr>
            </w:pPr>
            <w:r w:rsidRPr="001C2210">
              <w:rPr>
                <w:rFonts w:ascii="Times New Roman" w:hAnsi="Times New Roman"/>
              </w:rPr>
              <w:t xml:space="preserve">1. Удлинительная линия Т- образная  высокого давления для введения контрастных веществ и жидкостей, соединение </w:t>
            </w:r>
            <w:proofErr w:type="spellStart"/>
            <w:r w:rsidRPr="001C2210">
              <w:rPr>
                <w:rFonts w:ascii="Times New Roman" w:hAnsi="Times New Roman"/>
              </w:rPr>
              <w:t>Люэр</w:t>
            </w:r>
            <w:proofErr w:type="spellEnd"/>
            <w:r w:rsidRPr="001C2210">
              <w:rPr>
                <w:rFonts w:ascii="Times New Roman" w:hAnsi="Times New Roman"/>
              </w:rPr>
              <w:t xml:space="preserve"> </w:t>
            </w:r>
            <w:proofErr w:type="spellStart"/>
            <w:r w:rsidRPr="001C2210">
              <w:rPr>
                <w:rFonts w:ascii="Times New Roman" w:hAnsi="Times New Roman"/>
              </w:rPr>
              <w:t>Лок</w:t>
            </w:r>
            <w:proofErr w:type="spellEnd"/>
            <w:r w:rsidRPr="001C2210">
              <w:rPr>
                <w:rFonts w:ascii="Times New Roman" w:hAnsi="Times New Roman"/>
              </w:rPr>
              <w:t xml:space="preserve"> </w:t>
            </w:r>
            <w:proofErr w:type="spellStart"/>
            <w:r w:rsidRPr="001C2210">
              <w:rPr>
                <w:rFonts w:ascii="Times New Roman" w:hAnsi="Times New Roman"/>
              </w:rPr>
              <w:t>Female</w:t>
            </w:r>
            <w:proofErr w:type="spellEnd"/>
            <w:r w:rsidRPr="001C2210">
              <w:rPr>
                <w:rFonts w:ascii="Times New Roman" w:hAnsi="Times New Roman"/>
              </w:rPr>
              <w:t>/</w:t>
            </w:r>
            <w:proofErr w:type="spellStart"/>
            <w:r w:rsidRPr="001C2210">
              <w:rPr>
                <w:rFonts w:ascii="Times New Roman" w:hAnsi="Times New Roman"/>
              </w:rPr>
              <w:t>Male</w:t>
            </w:r>
            <w:proofErr w:type="spellEnd"/>
            <w:r w:rsidRPr="001C2210">
              <w:rPr>
                <w:rFonts w:ascii="Times New Roman" w:hAnsi="Times New Roman"/>
              </w:rPr>
              <w:t>, ротационный адаптер (для возможности подключения двух колб).</w:t>
            </w:r>
            <w:r w:rsidRPr="001C2210">
              <w:rPr>
                <w:rFonts w:ascii="Times New Roman" w:hAnsi="Times New Roman"/>
              </w:rPr>
              <w:br/>
              <w:t>2. Наличие армирования для защиты от перегибов линии.</w:t>
            </w:r>
            <w:r w:rsidRPr="001C2210">
              <w:rPr>
                <w:rFonts w:ascii="Times New Roman" w:hAnsi="Times New Roman"/>
              </w:rPr>
              <w:br/>
              <w:t xml:space="preserve">3. Встроенный ротационный адаптер </w:t>
            </w:r>
            <w:proofErr w:type="spellStart"/>
            <w:r w:rsidRPr="001C2210">
              <w:rPr>
                <w:rFonts w:ascii="Times New Roman" w:hAnsi="Times New Roman"/>
              </w:rPr>
              <w:t>Люэр</w:t>
            </w:r>
            <w:proofErr w:type="spellEnd"/>
            <w:r w:rsidRPr="001C2210">
              <w:rPr>
                <w:rFonts w:ascii="Times New Roman" w:hAnsi="Times New Roman"/>
              </w:rPr>
              <w:t xml:space="preserve"> </w:t>
            </w:r>
            <w:proofErr w:type="spellStart"/>
            <w:r w:rsidRPr="001C2210">
              <w:rPr>
                <w:rFonts w:ascii="Times New Roman" w:hAnsi="Times New Roman"/>
              </w:rPr>
              <w:t>Лок</w:t>
            </w:r>
            <w:proofErr w:type="spellEnd"/>
            <w:r w:rsidRPr="001C2210">
              <w:rPr>
                <w:rFonts w:ascii="Times New Roman" w:hAnsi="Times New Roman"/>
              </w:rPr>
              <w:t xml:space="preserve">, защищающий систему от разгерметизации и инфицирования, с красной линией-идентификатором артериальной линии. </w:t>
            </w:r>
            <w:r w:rsidRPr="001C2210">
              <w:rPr>
                <w:rFonts w:ascii="Times New Roman" w:hAnsi="Times New Roman"/>
              </w:rPr>
              <w:br/>
              <w:t xml:space="preserve">4. На адаптере имеется 6 выступов для предотвращения скольжения при закручивании. </w:t>
            </w:r>
            <w:r w:rsidRPr="001C2210">
              <w:rPr>
                <w:rFonts w:ascii="Times New Roman" w:hAnsi="Times New Roman"/>
              </w:rPr>
              <w:br/>
              <w:t xml:space="preserve">5. С противоположной стороны адаптер </w:t>
            </w:r>
            <w:proofErr w:type="spellStart"/>
            <w:r w:rsidRPr="001C2210">
              <w:rPr>
                <w:rFonts w:ascii="Times New Roman" w:hAnsi="Times New Roman"/>
              </w:rPr>
              <w:t>Люэр</w:t>
            </w:r>
            <w:proofErr w:type="spellEnd"/>
            <w:r w:rsidRPr="001C2210">
              <w:rPr>
                <w:rFonts w:ascii="Times New Roman" w:hAnsi="Times New Roman"/>
              </w:rPr>
              <w:t xml:space="preserve"> </w:t>
            </w:r>
            <w:proofErr w:type="spellStart"/>
            <w:r w:rsidRPr="001C2210">
              <w:rPr>
                <w:rFonts w:ascii="Times New Roman" w:hAnsi="Times New Roman"/>
              </w:rPr>
              <w:t>Лок</w:t>
            </w:r>
            <w:proofErr w:type="spellEnd"/>
            <w:r w:rsidRPr="001C2210">
              <w:rPr>
                <w:rFonts w:ascii="Times New Roman" w:hAnsi="Times New Roman"/>
              </w:rPr>
              <w:t xml:space="preserve"> </w:t>
            </w:r>
            <w:proofErr w:type="spellStart"/>
            <w:r w:rsidRPr="001C2210">
              <w:rPr>
                <w:rFonts w:ascii="Times New Roman" w:hAnsi="Times New Roman"/>
              </w:rPr>
              <w:t>Female</w:t>
            </w:r>
            <w:proofErr w:type="spellEnd"/>
            <w:r w:rsidRPr="001C2210">
              <w:rPr>
                <w:rFonts w:ascii="Times New Roman" w:hAnsi="Times New Roman"/>
              </w:rPr>
              <w:t>, на котором имеется 2 выступа для предотвращения скольжения при закручивании.</w:t>
            </w:r>
            <w:r w:rsidRPr="001C2210">
              <w:rPr>
                <w:rFonts w:ascii="Times New Roman" w:hAnsi="Times New Roman"/>
              </w:rPr>
              <w:br/>
              <w:t>6. Резистентность к давлению максимум 84 бар, внутренний диаметр 1,7 мм, наружный диаметр 3,6 мм, длина не менее 150 см. Характеристика предусмотрена производителем инъекционной системы.</w:t>
            </w:r>
            <w:r w:rsidRPr="001C2210">
              <w:rPr>
                <w:rFonts w:ascii="Times New Roman" w:hAnsi="Times New Roman"/>
              </w:rPr>
              <w:br/>
              <w:t>Стерильно. Индивидуально упаковано</w:t>
            </w:r>
          </w:p>
        </w:tc>
        <w:tc>
          <w:tcPr>
            <w:tcW w:w="708" w:type="dxa"/>
          </w:tcPr>
          <w:p w:rsidR="00C55A5D" w:rsidRPr="001C2210" w:rsidRDefault="00C55A5D" w:rsidP="00B23C28">
            <w:pPr>
              <w:spacing w:after="0" w:line="240" w:lineRule="auto"/>
              <w:jc w:val="center"/>
              <w:rPr>
                <w:rFonts w:ascii="Times New Roman" w:hAnsi="Times New Roman"/>
                <w:lang w:eastAsia="ru-RU"/>
              </w:rPr>
            </w:pPr>
            <w:r w:rsidRPr="001C2210">
              <w:rPr>
                <w:rFonts w:ascii="Times New Roman" w:hAnsi="Times New Roman"/>
                <w:lang w:eastAsia="ru-RU"/>
              </w:rPr>
              <w:t>6250</w:t>
            </w:r>
          </w:p>
        </w:tc>
        <w:tc>
          <w:tcPr>
            <w:tcW w:w="709" w:type="dxa"/>
          </w:tcPr>
          <w:p w:rsidR="00C55A5D" w:rsidRPr="001C2210" w:rsidRDefault="00C55A5D" w:rsidP="00B23C28">
            <w:pPr>
              <w:spacing w:after="0" w:line="240" w:lineRule="auto"/>
              <w:jc w:val="center"/>
              <w:rPr>
                <w:rFonts w:ascii="Times New Roman" w:hAnsi="Times New Roman"/>
                <w:lang w:eastAsia="ru-RU"/>
              </w:rPr>
            </w:pPr>
            <w:r w:rsidRPr="001C2210">
              <w:rPr>
                <w:rFonts w:ascii="Times New Roman" w:hAnsi="Times New Roman"/>
                <w:lang w:eastAsia="ru-RU"/>
              </w:rPr>
              <w:t>шт.</w:t>
            </w:r>
          </w:p>
        </w:tc>
        <w:tc>
          <w:tcPr>
            <w:tcW w:w="1559" w:type="dxa"/>
          </w:tcPr>
          <w:p w:rsidR="00C55A5D" w:rsidRPr="001C2210" w:rsidRDefault="00C55A5D" w:rsidP="00B23C28">
            <w:pPr>
              <w:spacing w:after="0" w:line="240" w:lineRule="auto"/>
              <w:jc w:val="center"/>
              <w:rPr>
                <w:rFonts w:ascii="Times New Roman" w:hAnsi="Times New Roman"/>
                <w:lang w:eastAsia="ru-RU"/>
              </w:rPr>
            </w:pPr>
            <w:r w:rsidRPr="001C2210">
              <w:rPr>
                <w:rFonts w:ascii="Times New Roman" w:hAnsi="Times New Roman"/>
                <w:lang w:eastAsia="ru-RU"/>
              </w:rPr>
              <w:t>32.50.13.110-00005236*</w:t>
            </w:r>
          </w:p>
        </w:tc>
        <w:tc>
          <w:tcPr>
            <w:tcW w:w="1276"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851"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1134"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c>
          <w:tcPr>
            <w:tcW w:w="949" w:type="dxa"/>
            <w:shd w:val="clear" w:color="auto" w:fill="FFFFCC"/>
          </w:tcPr>
          <w:p w:rsidR="00C55A5D" w:rsidRPr="000E0FFD" w:rsidRDefault="00C55A5D" w:rsidP="00B23C28">
            <w:pPr>
              <w:spacing w:after="0" w:line="240" w:lineRule="auto"/>
              <w:jc w:val="center"/>
              <w:rPr>
                <w:rFonts w:ascii="Times New Roman" w:hAnsi="Times New Roman"/>
                <w:lang w:eastAsia="ru-RU"/>
              </w:rPr>
            </w:pPr>
          </w:p>
        </w:tc>
      </w:tr>
    </w:tbl>
    <w:p w:rsidR="00C55A5D" w:rsidRPr="001C2210" w:rsidRDefault="00C55A5D" w:rsidP="00C55A5D">
      <w:pPr>
        <w:pStyle w:val="a7"/>
        <w:widowControl w:val="0"/>
        <w:spacing w:after="0"/>
        <w:ind w:left="0" w:firstLine="709"/>
        <w:rPr>
          <w:rFonts w:ascii="Times New Roman" w:hAnsi="Times New Roman"/>
          <w:i/>
          <w:sz w:val="28"/>
          <w:szCs w:val="28"/>
        </w:rPr>
      </w:pPr>
    </w:p>
    <w:p w:rsidR="00C55A5D" w:rsidRDefault="00C55A5D" w:rsidP="00C55A5D">
      <w:pPr>
        <w:pStyle w:val="a7"/>
        <w:widowControl w:val="0"/>
        <w:spacing w:after="0"/>
        <w:ind w:left="0" w:firstLine="709"/>
        <w:rPr>
          <w:rFonts w:ascii="Times New Roman" w:hAnsi="Times New Roman"/>
          <w:i/>
          <w:sz w:val="28"/>
          <w:szCs w:val="28"/>
        </w:rPr>
      </w:pPr>
      <w:bookmarkStart w:id="23" w:name="_Ref518475891"/>
      <w:r w:rsidRPr="001C2210">
        <w:rPr>
          <w:rFonts w:ascii="Times New Roman" w:hAnsi="Times New Roman"/>
          <w:i/>
          <w:sz w:val="28"/>
          <w:szCs w:val="28"/>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bookmarkEnd w:id="23"/>
    </w:p>
    <w:p w:rsidR="00170252" w:rsidRDefault="00C55A5D" w:rsidP="00C55A5D">
      <w:pPr>
        <w:pStyle w:val="a7"/>
        <w:widowControl w:val="0"/>
        <w:spacing w:after="0"/>
        <w:ind w:left="0" w:firstLine="709"/>
        <w:rPr>
          <w:rFonts w:ascii="Times New Roman" w:hAnsi="Times New Roman" w:cs="Times New Roman"/>
          <w:b/>
          <w:sz w:val="28"/>
          <w:szCs w:val="28"/>
        </w:rPr>
      </w:pPr>
      <w:r>
        <w:rPr>
          <w:rFonts w:ascii="Times New Roman" w:hAnsi="Times New Roman"/>
          <w:i/>
          <w:sz w:val="28"/>
          <w:szCs w:val="28"/>
        </w:rPr>
        <w:t>*</w:t>
      </w:r>
      <w:r w:rsidRPr="001C2210">
        <w:rPr>
          <w:rFonts w:ascii="Times New Roman" w:hAnsi="Times New Roman"/>
          <w:i/>
          <w:sz w:val="28"/>
          <w:szCs w:val="28"/>
        </w:rPr>
        <w:t>*</w:t>
      </w:r>
      <w:r>
        <w:rPr>
          <w:rFonts w:ascii="Times New Roman" w:hAnsi="Times New Roman"/>
          <w:i/>
          <w:sz w:val="28"/>
          <w:szCs w:val="28"/>
        </w:rPr>
        <w:t xml:space="preserve"> </w:t>
      </w:r>
      <w:r w:rsidRPr="001C2210">
        <w:rPr>
          <w:rFonts w:ascii="Times New Roman" w:hAnsi="Times New Roman"/>
          <w:i/>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w:t>
      </w:r>
      <w:r>
        <w:rPr>
          <w:rFonts w:ascii="Times New Roman" w:hAnsi="Times New Roman"/>
          <w:i/>
          <w:sz w:val="28"/>
          <w:szCs w:val="28"/>
        </w:rPr>
        <w:t xml:space="preserve"> эффективной медицинской помощи.</w:t>
      </w:r>
    </w:p>
    <w:sectPr w:rsidR="00170252" w:rsidSect="00C2575C">
      <w:headerReference w:type="first" r:id="rId18"/>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161" w:rsidRDefault="004F6161">
      <w:pPr>
        <w:spacing w:after="0" w:line="240" w:lineRule="auto"/>
      </w:pPr>
      <w:r>
        <w:separator/>
      </w:r>
    </w:p>
  </w:endnote>
  <w:endnote w:type="continuationSeparator" w:id="0">
    <w:p w:rsidR="004F6161" w:rsidRDefault="004F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47BD7" w:rsidRDefault="00447BD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447BD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47BD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447BD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447BD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161" w:rsidRDefault="004F6161">
      <w:pPr>
        <w:spacing w:after="0" w:line="240" w:lineRule="auto"/>
      </w:pPr>
      <w:r>
        <w:separator/>
      </w:r>
    </w:p>
  </w:footnote>
  <w:footnote w:type="continuationSeparator" w:id="0">
    <w:p w:rsidR="004F6161" w:rsidRDefault="004F616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47BD7" w:rsidRDefault="00447BD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47BD7" w:rsidRDefault="00447BD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47BD7" w:rsidRDefault="00447BD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336A6" w:rsidRDefault="00447BD7"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23EA"/>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E63D7"/>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47BD7"/>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4F6161"/>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16815"/>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5A5D"/>
    <w:rsid w:val="00C56C90"/>
    <w:rsid w:val="00C5719E"/>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444B6E-63A1-4678-9948-C615CE79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E605-C6EE-42E8-B231-7285986C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2104</Words>
  <Characters>11994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2021-10-08T11:34:00Z</dcterms:created>
  <dcterms:modified xsi:type="dcterms:W3CDTF">2021-10-08T11:34:00Z</dcterms:modified>
</cp:coreProperties>
</file>