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E72C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C5358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проведению противоэпизоотических мероприятий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C5358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заявкам заказчика. Срок исполнения обязательств в течение 30 рабочих дней с даты получения заявки. Заказчик вправе направить заявку в срок не позднее 09.11.2025. Максимальное количество заявок 15.</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C5358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Аттестат аккредитации ветеринарной лаборатории</w:t>
            </w:r>
            <w:r w:rsidRPr="002F29AE">
              <w:rPr>
                <w:rFonts w:ascii="Times New Roman" w:hAnsi="Times New Roman" w:cs="Times New Roman"/>
                <w:noProof/>
                <w:sz w:val="24"/>
                <w:szCs w:val="24"/>
              </w:rPr>
              <w:fldChar w:fldCharType="end"/>
            </w:r>
            <w:bookmarkEnd w:id="16"/>
            <w:r w:rsidR="005872A7">
              <w:rPr>
                <w:rFonts w:ascii="Times New Roman" w:hAnsi="Times New Roman" w:cs="Times New Roman"/>
              </w:rPr>
              <w:t xml:space="preserve"> по услугам, показателям и исследованиям, указанным в спецификации.</w:t>
            </w:r>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0917" w:type="dxa"/>
        <w:tblInd w:w="-1026" w:type="dxa"/>
        <w:tblLayout w:type="fixed"/>
        <w:tblLook w:val="04A0" w:firstRow="1" w:lastRow="0" w:firstColumn="1" w:lastColumn="0" w:noHBand="0" w:noVBand="1"/>
      </w:tblPr>
      <w:tblGrid>
        <w:gridCol w:w="426"/>
        <w:gridCol w:w="3969"/>
        <w:gridCol w:w="1277"/>
        <w:gridCol w:w="709"/>
        <w:gridCol w:w="1418"/>
        <w:gridCol w:w="708"/>
        <w:gridCol w:w="1134"/>
        <w:gridCol w:w="1276"/>
      </w:tblGrid>
      <w:tr w:rsidR="00C53585" w:rsidRPr="003D0B4F" w:rsidTr="00471F5E">
        <w:tc>
          <w:tcPr>
            <w:tcW w:w="426"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п/н</w:t>
            </w:r>
          </w:p>
        </w:tc>
        <w:tc>
          <w:tcPr>
            <w:tcW w:w="3969"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Наименование продукции</w:t>
            </w:r>
          </w:p>
        </w:tc>
        <w:tc>
          <w:tcPr>
            <w:tcW w:w="1277"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Единица измерения</w:t>
            </w:r>
          </w:p>
        </w:tc>
        <w:tc>
          <w:tcPr>
            <w:tcW w:w="709"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Кол-во</w:t>
            </w:r>
          </w:p>
        </w:tc>
        <w:tc>
          <w:tcPr>
            <w:tcW w:w="1418"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Код по ОКПД2</w:t>
            </w:r>
          </w:p>
        </w:tc>
        <w:tc>
          <w:tcPr>
            <w:tcW w:w="708" w:type="dxa"/>
            <w:shd w:val="clear" w:color="auto" w:fill="FFFF00"/>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НДС (%)</w:t>
            </w:r>
          </w:p>
        </w:tc>
        <w:tc>
          <w:tcPr>
            <w:tcW w:w="1134" w:type="dxa"/>
            <w:shd w:val="clear" w:color="auto" w:fill="FFFF00"/>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Цена за ед.с НДС (руб.)</w:t>
            </w:r>
          </w:p>
        </w:tc>
        <w:tc>
          <w:tcPr>
            <w:tcW w:w="1276" w:type="dxa"/>
            <w:shd w:val="clear" w:color="auto" w:fill="FFFF00"/>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Сумма с НДС (руб.)</w:t>
            </w:r>
          </w:p>
        </w:tc>
      </w:tr>
      <w:tr w:rsidR="00C53585" w:rsidRPr="003D0B4F" w:rsidTr="00471F5E">
        <w:tc>
          <w:tcPr>
            <w:tcW w:w="426"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1</w:t>
            </w:r>
          </w:p>
        </w:tc>
        <w:tc>
          <w:tcPr>
            <w:tcW w:w="3969" w:type="dxa"/>
          </w:tcPr>
          <w:p w:rsidR="00C53585" w:rsidRPr="003D0B4F" w:rsidRDefault="00C53585" w:rsidP="00471F5E">
            <w:pPr>
              <w:rPr>
                <w:rFonts w:ascii="Times New Roman" w:hAnsi="Times New Roman" w:cs="Times New Roman"/>
              </w:rPr>
            </w:pPr>
            <w:r w:rsidRPr="00246E82">
              <w:rPr>
                <w:rFonts w:ascii="Times New Roman" w:hAnsi="Times New Roman" w:cs="Times New Roman"/>
              </w:rPr>
              <w:t>Гельминтозы, протозоозы собак, кошек, декоративных животных (метод флотации)</w:t>
            </w:r>
          </w:p>
        </w:tc>
        <w:tc>
          <w:tcPr>
            <w:tcW w:w="1277" w:type="dxa"/>
          </w:tcPr>
          <w:p w:rsidR="00C53585" w:rsidRPr="003D0B4F" w:rsidRDefault="00C53585" w:rsidP="00471F5E">
            <w:pPr>
              <w:jc w:val="center"/>
              <w:rPr>
                <w:rFonts w:ascii="Times New Roman" w:hAnsi="Times New Roman" w:cs="Times New Roman"/>
              </w:rPr>
            </w:pPr>
            <w:r>
              <w:rPr>
                <w:rFonts w:ascii="Times New Roman" w:hAnsi="Times New Roman" w:cs="Times New Roman"/>
              </w:rPr>
              <w:t>Усл.ед.</w:t>
            </w:r>
          </w:p>
        </w:tc>
        <w:tc>
          <w:tcPr>
            <w:tcW w:w="709"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200</w:t>
            </w:r>
          </w:p>
        </w:tc>
        <w:tc>
          <w:tcPr>
            <w:tcW w:w="1418"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75.00.19.000</w:t>
            </w:r>
          </w:p>
        </w:tc>
        <w:tc>
          <w:tcPr>
            <w:tcW w:w="708" w:type="dxa"/>
            <w:shd w:val="clear" w:color="auto" w:fill="FFFF00"/>
          </w:tcPr>
          <w:p w:rsidR="00C53585" w:rsidRPr="003D0B4F" w:rsidRDefault="00C53585" w:rsidP="00471F5E">
            <w:pPr>
              <w:rPr>
                <w:rFonts w:ascii="Times New Roman" w:hAnsi="Times New Roman" w:cs="Times New Roman"/>
              </w:rPr>
            </w:pPr>
          </w:p>
        </w:tc>
        <w:tc>
          <w:tcPr>
            <w:tcW w:w="1134" w:type="dxa"/>
            <w:shd w:val="clear" w:color="auto" w:fill="FFFF00"/>
          </w:tcPr>
          <w:p w:rsidR="00C53585" w:rsidRPr="003D0B4F" w:rsidRDefault="00C53585" w:rsidP="00471F5E">
            <w:pPr>
              <w:rPr>
                <w:rFonts w:ascii="Times New Roman" w:hAnsi="Times New Roman" w:cs="Times New Roman"/>
              </w:rPr>
            </w:pPr>
          </w:p>
        </w:tc>
        <w:tc>
          <w:tcPr>
            <w:tcW w:w="1276" w:type="dxa"/>
            <w:shd w:val="clear" w:color="auto" w:fill="FFFF00"/>
          </w:tcPr>
          <w:p w:rsidR="00C53585" w:rsidRPr="003D0B4F" w:rsidRDefault="00C53585" w:rsidP="00471F5E">
            <w:pPr>
              <w:rPr>
                <w:rFonts w:ascii="Times New Roman" w:hAnsi="Times New Roman" w:cs="Times New Roman"/>
              </w:rPr>
            </w:pPr>
          </w:p>
        </w:tc>
      </w:tr>
      <w:tr w:rsidR="00C53585" w:rsidRPr="003D0B4F" w:rsidTr="00471F5E">
        <w:tc>
          <w:tcPr>
            <w:tcW w:w="426"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2</w:t>
            </w:r>
          </w:p>
        </w:tc>
        <w:tc>
          <w:tcPr>
            <w:tcW w:w="3969" w:type="dxa"/>
          </w:tcPr>
          <w:p w:rsidR="00C53585" w:rsidRPr="003D0B4F" w:rsidRDefault="00C53585" w:rsidP="00471F5E">
            <w:pPr>
              <w:rPr>
                <w:rFonts w:ascii="Times New Roman" w:hAnsi="Times New Roman" w:cs="Times New Roman"/>
              </w:rPr>
            </w:pPr>
            <w:r w:rsidRPr="00246E82">
              <w:rPr>
                <w:rFonts w:ascii="Times New Roman" w:hAnsi="Times New Roman" w:cs="Times New Roman"/>
              </w:rPr>
              <w:t>Проведение исследований инкубационного яйца, помета, фекалий на сальмонеллы.</w:t>
            </w:r>
          </w:p>
        </w:tc>
        <w:tc>
          <w:tcPr>
            <w:tcW w:w="1277" w:type="dxa"/>
          </w:tcPr>
          <w:p w:rsidR="00C53585" w:rsidRPr="003D0B4F" w:rsidRDefault="00C53585" w:rsidP="00471F5E">
            <w:pPr>
              <w:jc w:val="center"/>
              <w:rPr>
                <w:rFonts w:ascii="Times New Roman" w:hAnsi="Times New Roman" w:cs="Times New Roman"/>
              </w:rPr>
            </w:pPr>
            <w:r>
              <w:rPr>
                <w:rFonts w:ascii="Times New Roman" w:hAnsi="Times New Roman" w:cs="Times New Roman"/>
              </w:rPr>
              <w:t>Усл.ед.</w:t>
            </w:r>
          </w:p>
        </w:tc>
        <w:tc>
          <w:tcPr>
            <w:tcW w:w="709"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200</w:t>
            </w:r>
          </w:p>
        </w:tc>
        <w:tc>
          <w:tcPr>
            <w:tcW w:w="1418"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75.00.19.000</w:t>
            </w:r>
          </w:p>
        </w:tc>
        <w:tc>
          <w:tcPr>
            <w:tcW w:w="708" w:type="dxa"/>
            <w:shd w:val="clear" w:color="auto" w:fill="FFFF00"/>
          </w:tcPr>
          <w:p w:rsidR="00C53585" w:rsidRPr="003D0B4F" w:rsidRDefault="00C53585" w:rsidP="00471F5E">
            <w:pPr>
              <w:rPr>
                <w:rFonts w:ascii="Times New Roman" w:hAnsi="Times New Roman" w:cs="Times New Roman"/>
              </w:rPr>
            </w:pPr>
          </w:p>
        </w:tc>
        <w:tc>
          <w:tcPr>
            <w:tcW w:w="1134" w:type="dxa"/>
            <w:shd w:val="clear" w:color="auto" w:fill="FFFF00"/>
          </w:tcPr>
          <w:p w:rsidR="00C53585" w:rsidRPr="003D0B4F" w:rsidRDefault="00C53585" w:rsidP="00471F5E">
            <w:pPr>
              <w:rPr>
                <w:rFonts w:ascii="Times New Roman" w:hAnsi="Times New Roman" w:cs="Times New Roman"/>
              </w:rPr>
            </w:pPr>
          </w:p>
        </w:tc>
        <w:tc>
          <w:tcPr>
            <w:tcW w:w="1276" w:type="dxa"/>
            <w:shd w:val="clear" w:color="auto" w:fill="FFFF00"/>
          </w:tcPr>
          <w:p w:rsidR="00C53585" w:rsidRPr="003D0B4F" w:rsidRDefault="00C53585" w:rsidP="00471F5E">
            <w:pPr>
              <w:rPr>
                <w:rFonts w:ascii="Times New Roman" w:hAnsi="Times New Roman" w:cs="Times New Roman"/>
              </w:rPr>
            </w:pPr>
          </w:p>
        </w:tc>
      </w:tr>
      <w:tr w:rsidR="00C53585" w:rsidRPr="003D0B4F" w:rsidTr="00471F5E">
        <w:tc>
          <w:tcPr>
            <w:tcW w:w="426"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3</w:t>
            </w:r>
          </w:p>
        </w:tc>
        <w:tc>
          <w:tcPr>
            <w:tcW w:w="3969"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Арахноэнтомозы (микроскопия)</w:t>
            </w:r>
          </w:p>
        </w:tc>
        <w:tc>
          <w:tcPr>
            <w:tcW w:w="1277" w:type="dxa"/>
          </w:tcPr>
          <w:p w:rsidR="00C53585" w:rsidRPr="005955F5" w:rsidRDefault="00C53585" w:rsidP="00471F5E">
            <w:pPr>
              <w:jc w:val="center"/>
              <w:rPr>
                <w:rFonts w:ascii="Times New Roman" w:hAnsi="Times New Roman" w:cs="Times New Roman"/>
              </w:rPr>
            </w:pPr>
            <w:r w:rsidRPr="005955F5">
              <w:rPr>
                <w:rFonts w:ascii="Times New Roman" w:hAnsi="Times New Roman" w:cs="Times New Roman"/>
              </w:rPr>
              <w:t>Усл.ед</w:t>
            </w:r>
            <w:r>
              <w:rPr>
                <w:rFonts w:ascii="Times New Roman" w:hAnsi="Times New Roman" w:cs="Times New Roman"/>
              </w:rPr>
              <w:t>.</w:t>
            </w:r>
          </w:p>
        </w:tc>
        <w:tc>
          <w:tcPr>
            <w:tcW w:w="709"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50</w:t>
            </w:r>
          </w:p>
        </w:tc>
        <w:tc>
          <w:tcPr>
            <w:tcW w:w="1418"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75.00.19.000</w:t>
            </w:r>
          </w:p>
        </w:tc>
        <w:tc>
          <w:tcPr>
            <w:tcW w:w="708" w:type="dxa"/>
            <w:shd w:val="clear" w:color="auto" w:fill="FFFF00"/>
          </w:tcPr>
          <w:p w:rsidR="00C53585" w:rsidRPr="003D0B4F" w:rsidRDefault="00C53585" w:rsidP="00471F5E">
            <w:pPr>
              <w:rPr>
                <w:rFonts w:ascii="Times New Roman" w:hAnsi="Times New Roman" w:cs="Times New Roman"/>
              </w:rPr>
            </w:pPr>
          </w:p>
        </w:tc>
        <w:tc>
          <w:tcPr>
            <w:tcW w:w="1134" w:type="dxa"/>
            <w:shd w:val="clear" w:color="auto" w:fill="FFFF00"/>
          </w:tcPr>
          <w:p w:rsidR="00C53585" w:rsidRPr="003D0B4F" w:rsidRDefault="00C53585" w:rsidP="00471F5E">
            <w:pPr>
              <w:rPr>
                <w:rFonts w:ascii="Times New Roman" w:hAnsi="Times New Roman" w:cs="Times New Roman"/>
              </w:rPr>
            </w:pPr>
          </w:p>
        </w:tc>
        <w:tc>
          <w:tcPr>
            <w:tcW w:w="1276" w:type="dxa"/>
            <w:shd w:val="clear" w:color="auto" w:fill="FFFF00"/>
          </w:tcPr>
          <w:p w:rsidR="00C53585" w:rsidRPr="003D0B4F" w:rsidRDefault="00C53585" w:rsidP="00471F5E">
            <w:pPr>
              <w:rPr>
                <w:rFonts w:ascii="Times New Roman" w:hAnsi="Times New Roman" w:cs="Times New Roman"/>
              </w:rPr>
            </w:pPr>
          </w:p>
        </w:tc>
      </w:tr>
      <w:tr w:rsidR="00C53585" w:rsidRPr="003D0B4F" w:rsidTr="00471F5E">
        <w:tc>
          <w:tcPr>
            <w:tcW w:w="426"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4</w:t>
            </w:r>
          </w:p>
        </w:tc>
        <w:tc>
          <w:tcPr>
            <w:tcW w:w="3969" w:type="dxa"/>
          </w:tcPr>
          <w:p w:rsidR="00C53585" w:rsidRPr="003D0B4F" w:rsidRDefault="00C53585" w:rsidP="00471F5E">
            <w:pPr>
              <w:rPr>
                <w:rFonts w:ascii="Times New Roman" w:hAnsi="Times New Roman" w:cs="Times New Roman"/>
              </w:rPr>
            </w:pPr>
            <w:r w:rsidRPr="00246E82">
              <w:rPr>
                <w:rFonts w:ascii="Times New Roman" w:hAnsi="Times New Roman" w:cs="Times New Roman"/>
              </w:rPr>
              <w:t>Контроль качества дезинфекции (10 пробирок) бактериологический метод</w:t>
            </w:r>
          </w:p>
        </w:tc>
        <w:tc>
          <w:tcPr>
            <w:tcW w:w="1277" w:type="dxa"/>
          </w:tcPr>
          <w:p w:rsidR="00C53585" w:rsidRPr="005955F5" w:rsidRDefault="00C53585" w:rsidP="00471F5E">
            <w:pPr>
              <w:jc w:val="center"/>
              <w:rPr>
                <w:rFonts w:ascii="Times New Roman" w:hAnsi="Times New Roman" w:cs="Times New Roman"/>
              </w:rPr>
            </w:pPr>
            <w:r w:rsidRPr="005955F5">
              <w:rPr>
                <w:rFonts w:ascii="Times New Roman" w:hAnsi="Times New Roman" w:cs="Times New Roman"/>
              </w:rPr>
              <w:t>Усл.ед</w:t>
            </w:r>
            <w:r>
              <w:rPr>
                <w:rFonts w:ascii="Times New Roman" w:hAnsi="Times New Roman" w:cs="Times New Roman"/>
              </w:rPr>
              <w:t>.</w:t>
            </w:r>
          </w:p>
        </w:tc>
        <w:tc>
          <w:tcPr>
            <w:tcW w:w="709"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20</w:t>
            </w:r>
          </w:p>
        </w:tc>
        <w:tc>
          <w:tcPr>
            <w:tcW w:w="1418"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75.00.19.000</w:t>
            </w:r>
          </w:p>
        </w:tc>
        <w:tc>
          <w:tcPr>
            <w:tcW w:w="708" w:type="dxa"/>
            <w:shd w:val="clear" w:color="auto" w:fill="FFFF00"/>
          </w:tcPr>
          <w:p w:rsidR="00C53585" w:rsidRPr="003D0B4F" w:rsidRDefault="00C53585" w:rsidP="00471F5E">
            <w:pPr>
              <w:rPr>
                <w:rFonts w:ascii="Times New Roman" w:hAnsi="Times New Roman" w:cs="Times New Roman"/>
              </w:rPr>
            </w:pPr>
          </w:p>
        </w:tc>
        <w:tc>
          <w:tcPr>
            <w:tcW w:w="1134" w:type="dxa"/>
            <w:shd w:val="clear" w:color="auto" w:fill="FFFF00"/>
          </w:tcPr>
          <w:p w:rsidR="00C53585" w:rsidRPr="003D0B4F" w:rsidRDefault="00C53585" w:rsidP="00471F5E">
            <w:pPr>
              <w:rPr>
                <w:rFonts w:ascii="Times New Roman" w:hAnsi="Times New Roman" w:cs="Times New Roman"/>
              </w:rPr>
            </w:pPr>
          </w:p>
        </w:tc>
        <w:tc>
          <w:tcPr>
            <w:tcW w:w="1276" w:type="dxa"/>
            <w:shd w:val="clear" w:color="auto" w:fill="FFFF00"/>
          </w:tcPr>
          <w:p w:rsidR="00C53585" w:rsidRPr="003D0B4F" w:rsidRDefault="00C53585" w:rsidP="00471F5E">
            <w:pPr>
              <w:rPr>
                <w:rFonts w:ascii="Times New Roman" w:hAnsi="Times New Roman" w:cs="Times New Roman"/>
              </w:rPr>
            </w:pPr>
          </w:p>
        </w:tc>
      </w:tr>
      <w:tr w:rsidR="00C53585" w:rsidRPr="003D0B4F" w:rsidTr="00471F5E">
        <w:trPr>
          <w:trHeight w:val="315"/>
        </w:trPr>
        <w:tc>
          <w:tcPr>
            <w:tcW w:w="426" w:type="dxa"/>
          </w:tcPr>
          <w:p w:rsidR="00C53585" w:rsidRPr="003D0B4F" w:rsidRDefault="00C53585" w:rsidP="00471F5E">
            <w:pPr>
              <w:jc w:val="center"/>
              <w:rPr>
                <w:rFonts w:ascii="Times New Roman" w:hAnsi="Times New Roman" w:cs="Times New Roman"/>
              </w:rPr>
            </w:pPr>
            <w:r w:rsidRPr="003D0B4F">
              <w:rPr>
                <w:rFonts w:ascii="Times New Roman" w:hAnsi="Times New Roman" w:cs="Times New Roman"/>
              </w:rPr>
              <w:t>5</w:t>
            </w:r>
          </w:p>
        </w:tc>
        <w:tc>
          <w:tcPr>
            <w:tcW w:w="3969" w:type="dxa"/>
          </w:tcPr>
          <w:p w:rsidR="00C53585" w:rsidRPr="003D0B4F" w:rsidRDefault="00C53585" w:rsidP="00471F5E">
            <w:pPr>
              <w:rPr>
                <w:rFonts w:ascii="Times New Roman" w:hAnsi="Times New Roman" w:cs="Times New Roman"/>
              </w:rPr>
            </w:pPr>
            <w:r w:rsidRPr="00246E82">
              <w:rPr>
                <w:rFonts w:ascii="Times New Roman" w:hAnsi="Times New Roman" w:cs="Times New Roman"/>
              </w:rPr>
              <w:t>Оформление протоколов испытаний</w:t>
            </w:r>
          </w:p>
        </w:tc>
        <w:tc>
          <w:tcPr>
            <w:tcW w:w="1277" w:type="dxa"/>
          </w:tcPr>
          <w:p w:rsidR="00C53585" w:rsidRPr="005955F5" w:rsidRDefault="00C53585" w:rsidP="00471F5E">
            <w:pPr>
              <w:jc w:val="center"/>
              <w:rPr>
                <w:rFonts w:ascii="Times New Roman" w:hAnsi="Times New Roman" w:cs="Times New Roman"/>
              </w:rPr>
            </w:pPr>
            <w:r w:rsidRPr="005955F5">
              <w:rPr>
                <w:rFonts w:ascii="Times New Roman" w:hAnsi="Times New Roman" w:cs="Times New Roman"/>
              </w:rPr>
              <w:t>Усл.ед</w:t>
            </w:r>
            <w:r>
              <w:rPr>
                <w:rFonts w:ascii="Times New Roman" w:hAnsi="Times New Roman" w:cs="Times New Roman"/>
              </w:rPr>
              <w:t>.</w:t>
            </w:r>
          </w:p>
        </w:tc>
        <w:tc>
          <w:tcPr>
            <w:tcW w:w="709"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15</w:t>
            </w:r>
          </w:p>
        </w:tc>
        <w:tc>
          <w:tcPr>
            <w:tcW w:w="1418" w:type="dxa"/>
          </w:tcPr>
          <w:p w:rsidR="00C53585" w:rsidRPr="003D0B4F" w:rsidRDefault="00C53585" w:rsidP="00471F5E">
            <w:pPr>
              <w:rPr>
                <w:rFonts w:ascii="Times New Roman" w:hAnsi="Times New Roman" w:cs="Times New Roman"/>
              </w:rPr>
            </w:pPr>
            <w:r w:rsidRPr="003D0B4F">
              <w:rPr>
                <w:rFonts w:ascii="Times New Roman" w:hAnsi="Times New Roman" w:cs="Times New Roman"/>
              </w:rPr>
              <w:t>75.00.19.000</w:t>
            </w:r>
          </w:p>
        </w:tc>
        <w:tc>
          <w:tcPr>
            <w:tcW w:w="708" w:type="dxa"/>
            <w:shd w:val="clear" w:color="auto" w:fill="FFFF00"/>
          </w:tcPr>
          <w:p w:rsidR="00C53585" w:rsidRPr="003D0B4F" w:rsidRDefault="00C53585" w:rsidP="00471F5E">
            <w:pPr>
              <w:rPr>
                <w:rFonts w:ascii="Times New Roman" w:hAnsi="Times New Roman" w:cs="Times New Roman"/>
              </w:rPr>
            </w:pPr>
          </w:p>
        </w:tc>
        <w:tc>
          <w:tcPr>
            <w:tcW w:w="1134" w:type="dxa"/>
            <w:shd w:val="clear" w:color="auto" w:fill="FFFF00"/>
          </w:tcPr>
          <w:p w:rsidR="00C53585" w:rsidRPr="003D0B4F" w:rsidRDefault="00C53585" w:rsidP="00471F5E">
            <w:pPr>
              <w:rPr>
                <w:rFonts w:ascii="Times New Roman" w:hAnsi="Times New Roman" w:cs="Times New Roman"/>
              </w:rPr>
            </w:pPr>
          </w:p>
        </w:tc>
        <w:tc>
          <w:tcPr>
            <w:tcW w:w="1276" w:type="dxa"/>
            <w:shd w:val="clear" w:color="auto" w:fill="FFFF00"/>
          </w:tcPr>
          <w:p w:rsidR="00C53585" w:rsidRPr="003D0B4F" w:rsidRDefault="00C53585" w:rsidP="00471F5E">
            <w:pPr>
              <w:rPr>
                <w:rFonts w:ascii="Times New Roman" w:hAnsi="Times New Roman" w:cs="Times New Roman"/>
              </w:rPr>
            </w:pPr>
          </w:p>
        </w:tc>
      </w:tr>
    </w:tbl>
    <w:p w:rsidR="00C53585" w:rsidRDefault="00C53585" w:rsidP="00C53585">
      <w:pPr>
        <w:spacing w:after="0" w:line="240" w:lineRule="auto"/>
        <w:rPr>
          <w:rFonts w:ascii="Times New Roman" w:hAnsi="Times New Roman" w:cs="Times New Roman"/>
        </w:rPr>
      </w:pPr>
    </w:p>
    <w:p w:rsidR="00C53585" w:rsidRDefault="00C53585" w:rsidP="00C53585">
      <w:pPr>
        <w:spacing w:after="0" w:line="240" w:lineRule="auto"/>
        <w:jc w:val="center"/>
        <w:rPr>
          <w:rFonts w:ascii="Times New Roman" w:hAnsi="Times New Roman" w:cs="Times New Roman"/>
          <w:b/>
        </w:rPr>
      </w:pPr>
      <w:r>
        <w:rPr>
          <w:rFonts w:ascii="Times New Roman" w:hAnsi="Times New Roman" w:cs="Times New Roman"/>
          <w:b/>
        </w:rPr>
        <w:t>Техническое задани</w:t>
      </w:r>
      <w:r w:rsidRPr="009C770F">
        <w:rPr>
          <w:rFonts w:ascii="Times New Roman" w:hAnsi="Times New Roman" w:cs="Times New Roman"/>
          <w:b/>
        </w:rPr>
        <w:t>е</w:t>
      </w:r>
    </w:p>
    <w:p w:rsidR="00C53585" w:rsidRDefault="00C53585" w:rsidP="00C53585">
      <w:pPr>
        <w:spacing w:after="0" w:line="240" w:lineRule="auto"/>
        <w:jc w:val="center"/>
        <w:rPr>
          <w:rFonts w:ascii="Times New Roman" w:hAnsi="Times New Roman" w:cs="Times New Roman"/>
        </w:rPr>
      </w:pPr>
      <w:r w:rsidRPr="009C770F">
        <w:rPr>
          <w:rFonts w:ascii="Times New Roman" w:hAnsi="Times New Roman" w:cs="Times New Roman"/>
        </w:rPr>
        <w:t>на оказание услуг по проведению противоэпизоотических мероприятий</w:t>
      </w:r>
    </w:p>
    <w:p w:rsidR="00C53585" w:rsidRDefault="00C53585" w:rsidP="00C53585">
      <w:pPr>
        <w:spacing w:after="0" w:line="240" w:lineRule="auto"/>
        <w:jc w:val="center"/>
        <w:rPr>
          <w:rFonts w:ascii="Times New Roman" w:hAnsi="Times New Roman" w:cs="Times New Roman"/>
        </w:rPr>
      </w:pPr>
    </w:p>
    <w:p w:rsidR="00C53585" w:rsidRDefault="00C53585" w:rsidP="00C024D8">
      <w:pPr>
        <w:spacing w:after="0" w:line="240" w:lineRule="auto"/>
        <w:ind w:left="-426" w:firstLine="426"/>
        <w:jc w:val="both"/>
        <w:rPr>
          <w:rFonts w:ascii="Times New Roman" w:hAnsi="Times New Roman" w:cs="Times New Roman"/>
        </w:rPr>
      </w:pPr>
      <w:r w:rsidRPr="009C770F">
        <w:rPr>
          <w:rFonts w:ascii="Times New Roman" w:hAnsi="Times New Roman" w:cs="Times New Roman"/>
        </w:rPr>
        <w:t xml:space="preserve">1. Услуги оказываются по заявкам Заказчика, в соответствии с ТЗ. Срок исполнения заявки на оказание </w:t>
      </w:r>
      <w:r>
        <w:rPr>
          <w:rFonts w:ascii="Times New Roman" w:hAnsi="Times New Roman" w:cs="Times New Roman"/>
        </w:rPr>
        <w:t>Услуг составляет 30 (тридцать) рабочи</w:t>
      </w:r>
      <w:r w:rsidRPr="00CD185A">
        <w:rPr>
          <w:rFonts w:ascii="Times New Roman" w:hAnsi="Times New Roman" w:cs="Times New Roman"/>
        </w:rPr>
        <w:t>х дней с момента получения Исполнителем заявки на оказание Услуг</w:t>
      </w:r>
      <w:r w:rsidR="008E0CCB">
        <w:rPr>
          <w:rFonts w:ascii="Times New Roman" w:hAnsi="Times New Roman" w:cs="Times New Roman"/>
        </w:rPr>
        <w:t xml:space="preserve"> </w:t>
      </w:r>
      <w:r w:rsidR="008E0CCB" w:rsidRPr="00CF7141">
        <w:rPr>
          <w:rFonts w:ascii="Times New Roman" w:hAnsi="Times New Roman" w:cs="Times New Roman"/>
          <w:highlight w:val="yellow"/>
        </w:rPr>
        <w:t>и регистрации пробы (образца) Исполнителем</w:t>
      </w:r>
      <w:r w:rsidR="008E0CCB">
        <w:rPr>
          <w:rFonts w:ascii="Times New Roman" w:hAnsi="Times New Roman" w:cs="Times New Roman"/>
        </w:rPr>
        <w:t>. З</w:t>
      </w:r>
      <w:r w:rsidRPr="00CD185A">
        <w:rPr>
          <w:rFonts w:ascii="Times New Roman" w:hAnsi="Times New Roman" w:cs="Times New Roman"/>
        </w:rPr>
        <w:t>аявки можно направлять не позднее 09.11.2026. Максимальное количество заявок не более 15 (пятнадцать).</w:t>
      </w:r>
    </w:p>
    <w:p w:rsidR="00C53585" w:rsidRDefault="00C53585" w:rsidP="00C024D8">
      <w:pPr>
        <w:spacing w:after="0" w:line="240" w:lineRule="auto"/>
        <w:ind w:left="-426" w:firstLine="426"/>
        <w:jc w:val="both"/>
        <w:rPr>
          <w:rFonts w:ascii="Times New Roman" w:hAnsi="Times New Roman" w:cs="Times New Roman"/>
        </w:rPr>
      </w:pPr>
      <w:r>
        <w:rPr>
          <w:rFonts w:ascii="Times New Roman" w:hAnsi="Times New Roman" w:cs="Times New Roman"/>
        </w:rPr>
        <w:t>2. Обязательно наличие у Исполнителя аттестата аккредитации ветеринарной лаборатории</w:t>
      </w:r>
      <w:r w:rsidR="00897EBF">
        <w:rPr>
          <w:rFonts w:ascii="Times New Roman" w:hAnsi="Times New Roman" w:cs="Times New Roman"/>
        </w:rPr>
        <w:t xml:space="preserve"> по </w:t>
      </w:r>
      <w:r w:rsidR="00847E5F">
        <w:rPr>
          <w:rFonts w:ascii="Times New Roman" w:hAnsi="Times New Roman" w:cs="Times New Roman"/>
        </w:rPr>
        <w:t>услугам</w:t>
      </w:r>
      <w:r w:rsidR="005872A7">
        <w:rPr>
          <w:rFonts w:ascii="Times New Roman" w:hAnsi="Times New Roman" w:cs="Times New Roman"/>
        </w:rPr>
        <w:t>,</w:t>
      </w:r>
      <w:r w:rsidR="00847E5F">
        <w:rPr>
          <w:rFonts w:ascii="Times New Roman" w:hAnsi="Times New Roman" w:cs="Times New Roman"/>
        </w:rPr>
        <w:t xml:space="preserve"> показателям и исследованиям, указанным в спецификации</w:t>
      </w:r>
      <w:r>
        <w:rPr>
          <w:rFonts w:ascii="Times New Roman" w:hAnsi="Times New Roman" w:cs="Times New Roman"/>
        </w:rPr>
        <w:t>.</w:t>
      </w:r>
    </w:p>
    <w:p w:rsidR="00BD7F59" w:rsidRDefault="00BD7F59" w:rsidP="00C024D8">
      <w:pPr>
        <w:spacing w:after="0" w:line="240" w:lineRule="auto"/>
        <w:ind w:left="-426" w:firstLine="426"/>
        <w:jc w:val="both"/>
        <w:rPr>
          <w:rFonts w:ascii="Times New Roman" w:hAnsi="Times New Roman" w:cs="Times New Roman"/>
        </w:rPr>
      </w:pPr>
      <w:r>
        <w:rPr>
          <w:rFonts w:ascii="Times New Roman" w:hAnsi="Times New Roman" w:cs="Times New Roman"/>
        </w:rPr>
        <w:t xml:space="preserve">3. </w:t>
      </w:r>
      <w:r w:rsidRPr="007070DA">
        <w:rPr>
          <w:rFonts w:ascii="Times New Roman" w:eastAsia="Times New Roman" w:hAnsi="Times New Roman" w:cs="Times New Roman"/>
          <w:lang w:eastAsia="ru-RU"/>
        </w:rPr>
        <w:t xml:space="preserve">Отбор проб (материала) для проведения исследований производится </w:t>
      </w:r>
      <w:r>
        <w:rPr>
          <w:rFonts w:ascii="Times New Roman" w:eastAsia="Times New Roman" w:hAnsi="Times New Roman" w:cs="Times New Roman"/>
          <w:lang w:eastAsia="ru-RU"/>
        </w:rPr>
        <w:t>Заказчиком.</w:t>
      </w:r>
    </w:p>
    <w:p w:rsidR="00BD7F59" w:rsidRDefault="00BD7F59" w:rsidP="00C024D8">
      <w:pPr>
        <w:spacing w:after="0" w:line="240" w:lineRule="auto"/>
        <w:ind w:left="-426" w:firstLine="426"/>
        <w:jc w:val="both"/>
        <w:rPr>
          <w:rFonts w:ascii="Times New Roman" w:hAnsi="Times New Roman" w:cs="Times New Roman"/>
        </w:rPr>
      </w:pPr>
      <w:r>
        <w:rPr>
          <w:rFonts w:ascii="Times New Roman" w:hAnsi="Times New Roman" w:cs="Times New Roman"/>
        </w:rPr>
        <w:t xml:space="preserve">3. </w:t>
      </w:r>
      <w:r w:rsidRPr="007070DA">
        <w:rPr>
          <w:rFonts w:ascii="Times New Roman" w:eastAsia="Times New Roman" w:hAnsi="Times New Roman" w:cs="Times New Roman"/>
          <w:lang w:eastAsia="ru-RU"/>
        </w:rPr>
        <w:t>Наличие расходных материалов для отбора проб (</w:t>
      </w:r>
      <w:r>
        <w:rPr>
          <w:rFonts w:ascii="Times New Roman" w:eastAsia="Times New Roman" w:hAnsi="Times New Roman" w:cs="Times New Roman"/>
          <w:lang w:eastAsia="ru-RU"/>
        </w:rPr>
        <w:t xml:space="preserve">пробирки, </w:t>
      </w:r>
      <w:r w:rsidRPr="007070DA">
        <w:rPr>
          <w:rFonts w:ascii="Times New Roman" w:eastAsia="Times New Roman" w:hAnsi="Times New Roman" w:cs="Times New Roman"/>
          <w:lang w:eastAsia="ru-RU"/>
        </w:rPr>
        <w:t>бутылки, банки и т.д.) обеспечивает Исполнитель</w:t>
      </w:r>
      <w:r>
        <w:rPr>
          <w:rFonts w:ascii="Times New Roman" w:eastAsia="Times New Roman" w:hAnsi="Times New Roman" w:cs="Times New Roman"/>
          <w:lang w:eastAsia="ru-RU"/>
        </w:rPr>
        <w:t>.</w:t>
      </w:r>
    </w:p>
    <w:p w:rsidR="00C53585" w:rsidRDefault="00C53585" w:rsidP="00C024D8">
      <w:pPr>
        <w:spacing w:after="0" w:line="240" w:lineRule="auto"/>
        <w:ind w:left="-426" w:firstLine="426"/>
        <w:jc w:val="both"/>
        <w:rPr>
          <w:rFonts w:ascii="Times New Roman" w:hAnsi="Times New Roman" w:cs="Times New Roman"/>
        </w:rPr>
      </w:pPr>
      <w:r>
        <w:rPr>
          <w:rFonts w:ascii="Times New Roman" w:hAnsi="Times New Roman" w:cs="Times New Roman"/>
        </w:rPr>
        <w:t>3. Доставка проб в лабораторию Исполнителя осуществляется силами Заказчика.</w:t>
      </w:r>
    </w:p>
    <w:p w:rsidR="00C53585" w:rsidRDefault="00C53585" w:rsidP="00C024D8">
      <w:pPr>
        <w:spacing w:after="0" w:line="240" w:lineRule="auto"/>
        <w:ind w:left="-426" w:firstLine="426"/>
        <w:jc w:val="both"/>
        <w:rPr>
          <w:rFonts w:ascii="Times New Roman" w:hAnsi="Times New Roman" w:cs="Times New Roman"/>
        </w:rPr>
      </w:pPr>
      <w:r>
        <w:rPr>
          <w:rFonts w:ascii="Times New Roman" w:eastAsia="Times New Roman" w:hAnsi="Times New Roman" w:cs="Times New Roman"/>
          <w:lang w:eastAsia="ru-RU"/>
        </w:rPr>
        <w:t xml:space="preserve">5. </w:t>
      </w:r>
      <w:r w:rsidRPr="00C03B47">
        <w:rPr>
          <w:rFonts w:ascii="Times New Roman" w:eastAsia="Times New Roman" w:hAnsi="Times New Roman" w:cs="Times New Roman"/>
          <w:lang w:eastAsia="ru-RU"/>
        </w:rPr>
        <w:t>Услуги необходимо оказывать с соблюдением требований экологических, санитарно-гигиенических, противопожарных и других норм, действующих на территории Российской Федерации</w:t>
      </w:r>
    </w:p>
    <w:p w:rsidR="00C53585" w:rsidRDefault="00C53585" w:rsidP="00C024D8">
      <w:pPr>
        <w:spacing w:after="0" w:line="240" w:lineRule="auto"/>
        <w:ind w:left="-426" w:firstLine="426"/>
        <w:jc w:val="both"/>
        <w:rPr>
          <w:rFonts w:ascii="Times New Roman" w:hAnsi="Times New Roman" w:cs="Times New Roman"/>
        </w:rPr>
      </w:pPr>
      <w:r>
        <w:rPr>
          <w:rFonts w:ascii="Times New Roman" w:hAnsi="Times New Roman" w:cs="Times New Roman"/>
        </w:rPr>
        <w:t xml:space="preserve">4. </w:t>
      </w:r>
      <w:r w:rsidRPr="009705D8">
        <w:rPr>
          <w:rFonts w:ascii="Times New Roman" w:hAnsi="Times New Roman" w:cs="Times New Roman"/>
          <w:highlight w:val="yellow"/>
        </w:rPr>
        <w:t xml:space="preserve">Услуги оказываются по </w:t>
      </w:r>
      <w:r>
        <w:rPr>
          <w:rFonts w:ascii="Times New Roman" w:hAnsi="Times New Roman" w:cs="Times New Roman"/>
          <w:highlight w:val="yellow"/>
        </w:rPr>
        <w:t>месту</w:t>
      </w:r>
      <w:r w:rsidRPr="009705D8">
        <w:rPr>
          <w:rFonts w:ascii="Times New Roman" w:hAnsi="Times New Roman" w:cs="Times New Roman"/>
          <w:highlight w:val="yellow"/>
        </w:rPr>
        <w:t xml:space="preserve"> нахождения Исполнителя в </w:t>
      </w:r>
      <w:r>
        <w:rPr>
          <w:rFonts w:ascii="Times New Roman" w:hAnsi="Times New Roman" w:cs="Times New Roman"/>
          <w:highlight w:val="yellow"/>
        </w:rPr>
        <w:t xml:space="preserve">территориальных границах </w:t>
      </w:r>
      <w:r w:rsidRPr="009705D8">
        <w:rPr>
          <w:rFonts w:ascii="Times New Roman" w:hAnsi="Times New Roman" w:cs="Times New Roman"/>
          <w:highlight w:val="yellow"/>
        </w:rPr>
        <w:t>г. Санкт –Петербург.</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DF" w:rsidRDefault="000343DF">
      <w:pPr>
        <w:spacing w:after="0" w:line="240" w:lineRule="auto"/>
      </w:pPr>
      <w:r>
        <w:separator/>
      </w:r>
    </w:p>
  </w:endnote>
  <w:endnote w:type="continuationSeparator" w:id="0">
    <w:p w:rsidR="000343DF" w:rsidRDefault="00034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72C2" w:rsidRDefault="008E72C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72C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E72C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E72C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72C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72A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E72C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72A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DF" w:rsidRDefault="000343DF">
      <w:pPr>
        <w:spacing w:after="0" w:line="240" w:lineRule="auto"/>
      </w:pPr>
      <w:r>
        <w:separator/>
      </w:r>
    </w:p>
  </w:footnote>
  <w:footnote w:type="continuationSeparator" w:id="0">
    <w:p w:rsidR="000343DF" w:rsidRDefault="000343D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72C2" w:rsidRDefault="008E72C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72C2" w:rsidRDefault="008E72C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E72C2" w:rsidRDefault="008E72C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343DF"/>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5CFC"/>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B64B6"/>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872A7"/>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47E5F"/>
    <w:rsid w:val="00851D4A"/>
    <w:rsid w:val="00861E58"/>
    <w:rsid w:val="0086317D"/>
    <w:rsid w:val="008638F3"/>
    <w:rsid w:val="00883DC5"/>
    <w:rsid w:val="00893080"/>
    <w:rsid w:val="0089339B"/>
    <w:rsid w:val="00894C5B"/>
    <w:rsid w:val="00897EBF"/>
    <w:rsid w:val="008A7058"/>
    <w:rsid w:val="008A77E7"/>
    <w:rsid w:val="008B0A94"/>
    <w:rsid w:val="008B64C5"/>
    <w:rsid w:val="008C7CC3"/>
    <w:rsid w:val="008D36C2"/>
    <w:rsid w:val="008E0CCB"/>
    <w:rsid w:val="008E65F0"/>
    <w:rsid w:val="008E72C2"/>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7F59"/>
    <w:rsid w:val="00BE3F70"/>
    <w:rsid w:val="00BE4CB3"/>
    <w:rsid w:val="00BF2771"/>
    <w:rsid w:val="00C024D8"/>
    <w:rsid w:val="00C1195F"/>
    <w:rsid w:val="00C134B9"/>
    <w:rsid w:val="00C14573"/>
    <w:rsid w:val="00C22E6F"/>
    <w:rsid w:val="00C35CC7"/>
    <w:rsid w:val="00C368D3"/>
    <w:rsid w:val="00C41A73"/>
    <w:rsid w:val="00C505E8"/>
    <w:rsid w:val="00C53585"/>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4FD4"/>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43FD5"/>
    <w:rsid w:val="00F52E6A"/>
    <w:rsid w:val="00F709FA"/>
    <w:rsid w:val="00F72D5A"/>
    <w:rsid w:val="00F73B84"/>
    <w:rsid w:val="00F84F75"/>
    <w:rsid w:val="00F904BD"/>
    <w:rsid w:val="00F92171"/>
    <w:rsid w:val="00FB1AB7"/>
    <w:rsid w:val="00FB3393"/>
    <w:rsid w:val="00FC099A"/>
    <w:rsid w:val="00FC1E1B"/>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A57C1-043F-4ADD-8824-C5B3B8E1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2026-01-26T05:59:00Z</dcterms:created>
  <dcterms:modified xsi:type="dcterms:W3CDTF">2026-01-26T05:59:00Z</dcterms:modified>
</cp:coreProperties>
</file>