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21.1-03/2317</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5A032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756C0C">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756C0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756C0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756C0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756C0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756C0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23.03.2027. Максимальное количество партий – 20 (двадцать).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756C0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регистрационные удостоверения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756C0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756C0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756C0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756C0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756C0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 преимущество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756C0C">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756C0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756C0C">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756C0C" w:rsidRDefault="00756C0C" w:rsidP="00E52880">
      <w:pPr>
        <w:pStyle w:val="a7"/>
        <w:widowControl w:val="0"/>
        <w:spacing w:after="0"/>
        <w:ind w:left="644"/>
        <w:jc w:val="center"/>
        <w:rPr>
          <w:rFonts w:ascii="Times New Roman" w:hAnsi="Times New Roman"/>
          <w:b/>
          <w:sz w:val="24"/>
          <w:szCs w:val="26"/>
        </w:rPr>
      </w:pPr>
    </w:p>
    <w:p w:rsidR="00756C0C" w:rsidRDefault="00756C0C" w:rsidP="00E52880">
      <w:pPr>
        <w:pStyle w:val="a7"/>
        <w:widowControl w:val="0"/>
        <w:spacing w:after="0"/>
        <w:ind w:left="644"/>
        <w:jc w:val="center"/>
        <w:rPr>
          <w:rFonts w:ascii="Times New Roman" w:hAnsi="Times New Roman"/>
          <w:b/>
          <w:sz w:val="24"/>
          <w:szCs w:val="26"/>
        </w:rPr>
      </w:pPr>
    </w:p>
    <w:tbl>
      <w:tblPr>
        <w:tblW w:w="4913" w:type="pct"/>
        <w:tblInd w:w="-150" w:type="dxa"/>
        <w:tblLayout w:type="fixed"/>
        <w:tblLook w:val="04A0" w:firstRow="1" w:lastRow="0" w:firstColumn="1" w:lastColumn="0" w:noHBand="0" w:noVBand="1"/>
      </w:tblPr>
      <w:tblGrid>
        <w:gridCol w:w="428"/>
        <w:gridCol w:w="1247"/>
        <w:gridCol w:w="1135"/>
        <w:gridCol w:w="1417"/>
        <w:gridCol w:w="1276"/>
        <w:gridCol w:w="1135"/>
        <w:gridCol w:w="1699"/>
        <w:gridCol w:w="2128"/>
        <w:gridCol w:w="849"/>
        <w:gridCol w:w="994"/>
        <w:gridCol w:w="990"/>
        <w:gridCol w:w="853"/>
        <w:gridCol w:w="708"/>
        <w:gridCol w:w="812"/>
      </w:tblGrid>
      <w:tr w:rsidR="00756C0C" w:rsidRPr="00756C0C" w:rsidTr="00756C0C">
        <w:trPr>
          <w:trHeight w:val="402"/>
        </w:trPr>
        <w:tc>
          <w:tcPr>
            <w:tcW w:w="137" w:type="pct"/>
            <w:vMerge w:val="restart"/>
            <w:tcBorders>
              <w:top w:val="single" w:sz="6" w:space="0" w:color="auto"/>
              <w:left w:val="single" w:sz="6" w:space="0" w:color="auto"/>
              <w:bottom w:val="single" w:sz="6" w:space="0" w:color="auto"/>
              <w:right w:val="single" w:sz="6" w:space="0" w:color="auto"/>
            </w:tcBorders>
            <w:hideMark/>
          </w:tcPr>
          <w:p w:rsidR="00756C0C" w:rsidRPr="00756C0C" w:rsidRDefault="00756C0C" w:rsidP="000B58C7">
            <w:pPr>
              <w:spacing w:after="0" w:line="240" w:lineRule="auto"/>
              <w:jc w:val="center"/>
              <w:rPr>
                <w:rFonts w:ascii="Times New Roman" w:eastAsia="Times New Roman" w:hAnsi="Times New Roman" w:cs="Times New Roman"/>
                <w:b/>
                <w:bCs/>
                <w:color w:val="000000"/>
                <w:sz w:val="16"/>
                <w:szCs w:val="16"/>
                <w:lang w:eastAsia="ru-RU"/>
              </w:rPr>
            </w:pPr>
            <w:r w:rsidRPr="00756C0C">
              <w:rPr>
                <w:rFonts w:ascii="Times New Roman" w:eastAsia="Times New Roman" w:hAnsi="Times New Roman" w:cs="Times New Roman"/>
                <w:b/>
                <w:bCs/>
                <w:color w:val="000000"/>
                <w:sz w:val="16"/>
                <w:szCs w:val="16"/>
                <w:lang w:eastAsia="ru-RU"/>
              </w:rPr>
              <w:t>№ пп</w:t>
            </w:r>
          </w:p>
        </w:tc>
        <w:tc>
          <w:tcPr>
            <w:tcW w:w="398" w:type="pct"/>
            <w:vMerge w:val="restart"/>
            <w:tcBorders>
              <w:top w:val="single" w:sz="4" w:space="0" w:color="auto"/>
              <w:left w:val="single" w:sz="4" w:space="0" w:color="auto"/>
              <w:bottom w:val="single" w:sz="4" w:space="0" w:color="auto"/>
              <w:right w:val="single" w:sz="4" w:space="0" w:color="auto"/>
            </w:tcBorders>
            <w:hideMark/>
          </w:tcPr>
          <w:p w:rsidR="00756C0C" w:rsidRPr="00756C0C" w:rsidRDefault="00756C0C" w:rsidP="000B58C7">
            <w:pPr>
              <w:spacing w:after="0" w:line="240" w:lineRule="auto"/>
              <w:jc w:val="center"/>
              <w:rPr>
                <w:rFonts w:ascii="Times New Roman" w:eastAsia="Times New Roman" w:hAnsi="Times New Roman" w:cs="Times New Roman"/>
                <w:b/>
                <w:bCs/>
                <w:color w:val="000000"/>
                <w:sz w:val="16"/>
                <w:szCs w:val="16"/>
                <w:lang w:eastAsia="ru-RU"/>
              </w:rPr>
            </w:pPr>
            <w:r w:rsidRPr="00756C0C">
              <w:rPr>
                <w:rFonts w:ascii="Times New Roman" w:eastAsia="Times New Roman" w:hAnsi="Times New Roman" w:cs="Times New Roman"/>
                <w:b/>
                <w:bCs/>
                <w:color w:val="000000"/>
                <w:sz w:val="16"/>
                <w:szCs w:val="16"/>
                <w:lang w:eastAsia="ru-RU"/>
              </w:rPr>
              <w:t>Наименование товара, работы, услуги</w:t>
            </w:r>
          </w:p>
        </w:tc>
        <w:tc>
          <w:tcPr>
            <w:tcW w:w="362" w:type="pct"/>
            <w:vMerge w:val="restart"/>
            <w:tcBorders>
              <w:top w:val="single" w:sz="4" w:space="0" w:color="auto"/>
              <w:left w:val="single" w:sz="4" w:space="0" w:color="auto"/>
              <w:bottom w:val="single" w:sz="4" w:space="0" w:color="auto"/>
              <w:right w:val="single" w:sz="4" w:space="0" w:color="auto"/>
            </w:tcBorders>
            <w:hideMark/>
          </w:tcPr>
          <w:p w:rsidR="00756C0C" w:rsidRPr="00756C0C" w:rsidRDefault="00756C0C" w:rsidP="000B58C7">
            <w:pPr>
              <w:spacing w:after="0" w:line="240" w:lineRule="auto"/>
              <w:jc w:val="center"/>
              <w:rPr>
                <w:rFonts w:ascii="Times New Roman" w:eastAsia="Times New Roman" w:hAnsi="Times New Roman" w:cs="Times New Roman"/>
                <w:b/>
                <w:bCs/>
                <w:color w:val="000000"/>
                <w:sz w:val="16"/>
                <w:szCs w:val="16"/>
                <w:lang w:eastAsia="ru-RU"/>
              </w:rPr>
            </w:pPr>
            <w:r w:rsidRPr="00756C0C">
              <w:rPr>
                <w:rFonts w:ascii="Times New Roman" w:eastAsia="Times New Roman" w:hAnsi="Times New Roman" w:cs="Times New Roman"/>
                <w:b/>
                <w:bCs/>
                <w:color w:val="000000"/>
                <w:sz w:val="16"/>
                <w:szCs w:val="16"/>
                <w:lang w:eastAsia="ru-RU"/>
              </w:rPr>
              <w:t>Код позиции</w:t>
            </w:r>
          </w:p>
        </w:tc>
        <w:tc>
          <w:tcPr>
            <w:tcW w:w="1763" w:type="pct"/>
            <w:gridSpan w:val="4"/>
            <w:tcBorders>
              <w:top w:val="single" w:sz="4" w:space="0" w:color="auto"/>
              <w:left w:val="nil"/>
              <w:bottom w:val="single" w:sz="4" w:space="0" w:color="auto"/>
              <w:right w:val="single" w:sz="4" w:space="0" w:color="auto"/>
            </w:tcBorders>
            <w:hideMark/>
          </w:tcPr>
          <w:p w:rsidR="00756C0C" w:rsidRPr="00756C0C" w:rsidRDefault="00756C0C" w:rsidP="000B58C7">
            <w:pPr>
              <w:spacing w:after="0" w:line="240" w:lineRule="auto"/>
              <w:jc w:val="center"/>
              <w:rPr>
                <w:rFonts w:ascii="Times New Roman" w:eastAsia="Times New Roman" w:hAnsi="Times New Roman" w:cs="Times New Roman"/>
                <w:b/>
                <w:bCs/>
                <w:color w:val="000000"/>
                <w:sz w:val="16"/>
                <w:szCs w:val="16"/>
                <w:lang w:eastAsia="ru-RU"/>
              </w:rPr>
            </w:pPr>
            <w:r w:rsidRPr="00756C0C">
              <w:rPr>
                <w:rFonts w:ascii="Times New Roman" w:eastAsia="Times New Roman" w:hAnsi="Times New Roman" w:cs="Times New Roman"/>
                <w:b/>
                <w:bCs/>
                <w:color w:val="000000"/>
                <w:sz w:val="16"/>
                <w:szCs w:val="16"/>
                <w:lang w:eastAsia="ru-RU"/>
              </w:rPr>
              <w:t>Характеристики товара, работы, услуги</w:t>
            </w:r>
          </w:p>
        </w:tc>
        <w:tc>
          <w:tcPr>
            <w:tcW w:w="679" w:type="pct"/>
            <w:vMerge w:val="restart"/>
            <w:tcBorders>
              <w:top w:val="single" w:sz="4" w:space="0" w:color="auto"/>
              <w:left w:val="single" w:sz="4" w:space="0" w:color="auto"/>
              <w:bottom w:val="single" w:sz="4" w:space="0" w:color="auto"/>
              <w:right w:val="single" w:sz="4" w:space="0" w:color="auto"/>
            </w:tcBorders>
            <w:hideMark/>
          </w:tcPr>
          <w:p w:rsidR="00756C0C" w:rsidRPr="00756C0C" w:rsidRDefault="00756C0C" w:rsidP="000B58C7">
            <w:pPr>
              <w:spacing w:after="0" w:line="240" w:lineRule="auto"/>
              <w:jc w:val="center"/>
              <w:rPr>
                <w:rFonts w:ascii="Times New Roman" w:eastAsia="Times New Roman" w:hAnsi="Times New Roman" w:cs="Times New Roman"/>
                <w:b/>
                <w:bCs/>
                <w:color w:val="000000"/>
                <w:sz w:val="16"/>
                <w:szCs w:val="16"/>
                <w:lang w:eastAsia="ru-RU"/>
              </w:rPr>
            </w:pPr>
            <w:r w:rsidRPr="00756C0C">
              <w:rPr>
                <w:rFonts w:ascii="Times New Roman" w:eastAsia="Times New Roman" w:hAnsi="Times New Roman" w:cs="Times New Roman"/>
                <w:b/>
                <w:bCs/>
                <w:color w:val="000000"/>
                <w:sz w:val="16"/>
                <w:szCs w:val="16"/>
                <w:lang w:eastAsia="ru-RU"/>
              </w:rPr>
              <w:t>Обоснование характеристик</w:t>
            </w:r>
          </w:p>
        </w:tc>
        <w:tc>
          <w:tcPr>
            <w:tcW w:w="271" w:type="pct"/>
            <w:vMerge w:val="restart"/>
            <w:tcBorders>
              <w:top w:val="single" w:sz="4" w:space="0" w:color="auto"/>
              <w:left w:val="single" w:sz="4" w:space="0" w:color="auto"/>
              <w:bottom w:val="single" w:sz="4" w:space="0" w:color="auto"/>
              <w:right w:val="single" w:sz="4" w:space="0" w:color="auto"/>
            </w:tcBorders>
            <w:hideMark/>
          </w:tcPr>
          <w:p w:rsidR="00756C0C" w:rsidRDefault="00756C0C" w:rsidP="000B58C7">
            <w:pPr>
              <w:spacing w:after="0" w:line="240" w:lineRule="auto"/>
              <w:jc w:val="center"/>
              <w:rPr>
                <w:rFonts w:ascii="Times New Roman" w:eastAsia="Times New Roman" w:hAnsi="Times New Roman" w:cs="Times New Roman"/>
                <w:b/>
                <w:bCs/>
                <w:color w:val="000000"/>
                <w:sz w:val="16"/>
                <w:szCs w:val="16"/>
                <w:lang w:eastAsia="ru-RU"/>
              </w:rPr>
            </w:pPr>
            <w:r w:rsidRPr="00756C0C">
              <w:rPr>
                <w:rFonts w:ascii="Times New Roman" w:eastAsia="Times New Roman" w:hAnsi="Times New Roman" w:cs="Times New Roman"/>
                <w:b/>
                <w:bCs/>
                <w:color w:val="000000"/>
                <w:sz w:val="16"/>
                <w:szCs w:val="16"/>
                <w:lang w:eastAsia="ru-RU"/>
              </w:rPr>
              <w:t>Количество</w:t>
            </w:r>
          </w:p>
          <w:p w:rsidR="00756C0C" w:rsidRPr="00756C0C" w:rsidRDefault="00756C0C" w:rsidP="000B58C7">
            <w:pPr>
              <w:spacing w:after="0" w:line="240" w:lineRule="auto"/>
              <w:jc w:val="center"/>
              <w:rPr>
                <w:rFonts w:ascii="Times New Roman" w:eastAsia="Times New Roman" w:hAnsi="Times New Roman" w:cs="Times New Roman"/>
                <w:b/>
                <w:bCs/>
                <w:color w:val="000000"/>
                <w:sz w:val="16"/>
                <w:szCs w:val="16"/>
                <w:lang w:eastAsia="ru-RU"/>
              </w:rPr>
            </w:pPr>
            <w:r w:rsidRPr="00756C0C">
              <w:rPr>
                <w:rFonts w:ascii="Times New Roman" w:eastAsia="Times New Roman" w:hAnsi="Times New Roman" w:cs="Times New Roman"/>
                <w:b/>
                <w:bCs/>
                <w:color w:val="000000"/>
                <w:sz w:val="16"/>
                <w:szCs w:val="16"/>
                <w:lang w:eastAsia="ru-RU"/>
              </w:rPr>
              <w:t>(объем работы, услуги)</w:t>
            </w:r>
          </w:p>
        </w:tc>
        <w:tc>
          <w:tcPr>
            <w:tcW w:w="317" w:type="pct"/>
            <w:vMerge w:val="restart"/>
            <w:tcBorders>
              <w:top w:val="single" w:sz="4" w:space="0" w:color="auto"/>
              <w:left w:val="single" w:sz="4" w:space="0" w:color="auto"/>
              <w:bottom w:val="single" w:sz="4" w:space="0" w:color="auto"/>
              <w:right w:val="single" w:sz="4" w:space="0" w:color="auto"/>
            </w:tcBorders>
            <w:hideMark/>
          </w:tcPr>
          <w:p w:rsidR="00756C0C" w:rsidRPr="00756C0C" w:rsidRDefault="00756C0C" w:rsidP="000B58C7">
            <w:pPr>
              <w:spacing w:after="0" w:line="240" w:lineRule="auto"/>
              <w:jc w:val="center"/>
              <w:rPr>
                <w:rFonts w:ascii="Times New Roman" w:eastAsia="Times New Roman" w:hAnsi="Times New Roman" w:cs="Times New Roman"/>
                <w:b/>
                <w:bCs/>
                <w:color w:val="000000"/>
                <w:sz w:val="16"/>
                <w:szCs w:val="16"/>
                <w:lang w:eastAsia="ru-RU"/>
              </w:rPr>
            </w:pPr>
            <w:r w:rsidRPr="00756C0C">
              <w:rPr>
                <w:rFonts w:ascii="Times New Roman" w:eastAsia="Times New Roman" w:hAnsi="Times New Roman" w:cs="Times New Roman"/>
                <w:b/>
                <w:bCs/>
                <w:color w:val="000000"/>
                <w:sz w:val="16"/>
                <w:szCs w:val="16"/>
                <w:lang w:eastAsia="ru-RU"/>
              </w:rPr>
              <w:t>Единица измерения</w:t>
            </w:r>
          </w:p>
        </w:tc>
        <w:tc>
          <w:tcPr>
            <w:tcW w:w="316" w:type="pct"/>
            <w:vMerge w:val="restart"/>
            <w:tcBorders>
              <w:top w:val="single" w:sz="4" w:space="0" w:color="auto"/>
              <w:left w:val="single" w:sz="4" w:space="0" w:color="auto"/>
              <w:bottom w:val="single" w:sz="4" w:space="0" w:color="000000"/>
              <w:right w:val="single" w:sz="4" w:space="0" w:color="auto"/>
            </w:tcBorders>
            <w:noWrap/>
            <w:hideMark/>
          </w:tcPr>
          <w:p w:rsidR="00756C0C" w:rsidRPr="00756C0C" w:rsidRDefault="00756C0C" w:rsidP="000B58C7">
            <w:pPr>
              <w:spacing w:after="0" w:line="240" w:lineRule="auto"/>
              <w:jc w:val="center"/>
              <w:rPr>
                <w:rFonts w:ascii="Times New Roman" w:eastAsia="Times New Roman" w:hAnsi="Times New Roman" w:cs="Times New Roman"/>
                <w:b/>
                <w:color w:val="000000"/>
                <w:sz w:val="16"/>
                <w:szCs w:val="16"/>
                <w:lang w:eastAsia="ru-RU"/>
              </w:rPr>
            </w:pPr>
            <w:r w:rsidRPr="00756C0C">
              <w:rPr>
                <w:rFonts w:ascii="Times New Roman" w:eastAsia="Times New Roman" w:hAnsi="Times New Roman" w:cs="Times New Roman"/>
                <w:b/>
                <w:color w:val="000000"/>
                <w:sz w:val="16"/>
                <w:szCs w:val="16"/>
                <w:lang w:eastAsia="ru-RU"/>
              </w:rPr>
              <w:t>Страна происхождения Товара</w:t>
            </w:r>
          </w:p>
        </w:tc>
        <w:tc>
          <w:tcPr>
            <w:tcW w:w="272" w:type="pct"/>
            <w:vMerge w:val="restart"/>
            <w:tcBorders>
              <w:top w:val="single" w:sz="4" w:space="0" w:color="auto"/>
              <w:left w:val="single" w:sz="4" w:space="0" w:color="auto"/>
              <w:bottom w:val="single" w:sz="4" w:space="0" w:color="000000"/>
              <w:right w:val="single" w:sz="4" w:space="0" w:color="auto"/>
            </w:tcBorders>
            <w:noWrap/>
            <w:hideMark/>
          </w:tcPr>
          <w:p w:rsidR="00756C0C" w:rsidRPr="00756C0C" w:rsidRDefault="00756C0C" w:rsidP="000B58C7">
            <w:pPr>
              <w:spacing w:after="0" w:line="240" w:lineRule="auto"/>
              <w:jc w:val="center"/>
              <w:rPr>
                <w:rFonts w:ascii="Times New Roman" w:eastAsia="Times New Roman" w:hAnsi="Times New Roman" w:cs="Times New Roman"/>
                <w:b/>
                <w:color w:val="000000"/>
                <w:sz w:val="16"/>
                <w:szCs w:val="16"/>
                <w:lang w:eastAsia="ru-RU"/>
              </w:rPr>
            </w:pPr>
            <w:r w:rsidRPr="00756C0C">
              <w:rPr>
                <w:rFonts w:ascii="Times New Roman" w:eastAsia="Times New Roman" w:hAnsi="Times New Roman" w:cs="Times New Roman"/>
                <w:b/>
                <w:color w:val="000000"/>
                <w:sz w:val="16"/>
                <w:szCs w:val="16"/>
                <w:lang w:eastAsia="ru-RU"/>
              </w:rPr>
              <w:t>Ставка НДС%</w:t>
            </w:r>
          </w:p>
        </w:tc>
        <w:tc>
          <w:tcPr>
            <w:tcW w:w="226" w:type="pct"/>
            <w:vMerge w:val="restart"/>
            <w:tcBorders>
              <w:top w:val="single" w:sz="4" w:space="0" w:color="auto"/>
              <w:left w:val="single" w:sz="4" w:space="0" w:color="auto"/>
              <w:bottom w:val="single" w:sz="4" w:space="0" w:color="000000"/>
              <w:right w:val="single" w:sz="4" w:space="0" w:color="auto"/>
            </w:tcBorders>
            <w:noWrap/>
            <w:hideMark/>
          </w:tcPr>
          <w:p w:rsidR="00756C0C" w:rsidRPr="00756C0C" w:rsidRDefault="00756C0C" w:rsidP="000B58C7">
            <w:pPr>
              <w:spacing w:after="0" w:line="240" w:lineRule="auto"/>
              <w:jc w:val="center"/>
              <w:rPr>
                <w:rFonts w:ascii="Times New Roman" w:eastAsia="Times New Roman" w:hAnsi="Times New Roman" w:cs="Times New Roman"/>
                <w:b/>
                <w:color w:val="000000"/>
                <w:sz w:val="16"/>
                <w:szCs w:val="16"/>
                <w:lang w:eastAsia="ru-RU"/>
              </w:rPr>
            </w:pPr>
            <w:r w:rsidRPr="00756C0C">
              <w:rPr>
                <w:rFonts w:ascii="Times New Roman" w:eastAsia="Times New Roman" w:hAnsi="Times New Roman" w:cs="Times New Roman"/>
                <w:b/>
                <w:color w:val="000000"/>
                <w:sz w:val="16"/>
                <w:szCs w:val="16"/>
                <w:lang w:eastAsia="ru-RU"/>
              </w:rPr>
              <w:t>Цена за ед. без НДС</w:t>
            </w:r>
          </w:p>
        </w:tc>
        <w:tc>
          <w:tcPr>
            <w:tcW w:w="259" w:type="pct"/>
            <w:vMerge w:val="restart"/>
            <w:tcBorders>
              <w:top w:val="single" w:sz="4" w:space="0" w:color="auto"/>
              <w:left w:val="single" w:sz="4" w:space="0" w:color="auto"/>
              <w:bottom w:val="single" w:sz="4" w:space="0" w:color="000000"/>
              <w:right w:val="single" w:sz="4" w:space="0" w:color="auto"/>
            </w:tcBorders>
            <w:noWrap/>
            <w:hideMark/>
          </w:tcPr>
          <w:p w:rsidR="00756C0C" w:rsidRPr="00756C0C" w:rsidRDefault="00756C0C" w:rsidP="000B58C7">
            <w:pPr>
              <w:spacing w:after="0" w:line="240" w:lineRule="auto"/>
              <w:jc w:val="center"/>
              <w:rPr>
                <w:rFonts w:ascii="Times New Roman" w:eastAsia="Times New Roman" w:hAnsi="Times New Roman" w:cs="Times New Roman"/>
                <w:b/>
                <w:color w:val="000000"/>
                <w:sz w:val="16"/>
                <w:szCs w:val="16"/>
                <w:lang w:eastAsia="ru-RU"/>
              </w:rPr>
            </w:pPr>
            <w:r w:rsidRPr="00756C0C">
              <w:rPr>
                <w:rFonts w:ascii="Times New Roman" w:eastAsia="Times New Roman" w:hAnsi="Times New Roman" w:cs="Times New Roman"/>
                <w:b/>
                <w:color w:val="000000"/>
                <w:sz w:val="16"/>
                <w:szCs w:val="16"/>
                <w:lang w:eastAsia="ru-RU"/>
              </w:rPr>
              <w:t>Сумма без НДС</w:t>
            </w:r>
          </w:p>
        </w:tc>
      </w:tr>
      <w:tr w:rsidR="00756C0C" w:rsidRPr="00756C0C" w:rsidTr="00756C0C">
        <w:trPr>
          <w:trHeight w:val="402"/>
        </w:trPr>
        <w:tc>
          <w:tcPr>
            <w:tcW w:w="137" w:type="pct"/>
            <w:vMerge/>
            <w:tcBorders>
              <w:top w:val="single" w:sz="6" w:space="0" w:color="auto"/>
              <w:left w:val="single" w:sz="6" w:space="0" w:color="auto"/>
              <w:bottom w:val="single" w:sz="6" w:space="0" w:color="auto"/>
              <w:right w:val="single" w:sz="6"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b/>
                <w:bCs/>
                <w:color w:val="000000"/>
                <w:sz w:val="16"/>
                <w:szCs w:val="16"/>
                <w:lang w:eastAsia="ru-RU"/>
              </w:rPr>
            </w:pPr>
          </w:p>
        </w:tc>
        <w:tc>
          <w:tcPr>
            <w:tcW w:w="398" w:type="pct"/>
            <w:vMerge/>
            <w:tcBorders>
              <w:top w:val="single" w:sz="4" w:space="0" w:color="auto"/>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b/>
                <w:bCs/>
                <w:color w:val="000000"/>
                <w:sz w:val="16"/>
                <w:szCs w:val="16"/>
                <w:lang w:eastAsia="ru-RU"/>
              </w:rPr>
            </w:pPr>
          </w:p>
        </w:tc>
        <w:tc>
          <w:tcPr>
            <w:tcW w:w="362" w:type="pct"/>
            <w:vMerge/>
            <w:tcBorders>
              <w:top w:val="single" w:sz="4" w:space="0" w:color="auto"/>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b/>
                <w:bCs/>
                <w:color w:val="000000"/>
                <w:sz w:val="16"/>
                <w:szCs w:val="16"/>
                <w:lang w:eastAsia="ru-RU"/>
              </w:rPr>
            </w:pPr>
          </w:p>
        </w:tc>
        <w:tc>
          <w:tcPr>
            <w:tcW w:w="452" w:type="pct"/>
            <w:tcBorders>
              <w:top w:val="nil"/>
              <w:left w:val="nil"/>
              <w:bottom w:val="single" w:sz="4" w:space="0" w:color="auto"/>
              <w:right w:val="single" w:sz="4" w:space="0" w:color="auto"/>
            </w:tcBorders>
            <w:vAlign w:val="center"/>
            <w:hideMark/>
          </w:tcPr>
          <w:p w:rsidR="00756C0C" w:rsidRPr="00756C0C" w:rsidRDefault="00756C0C" w:rsidP="000B58C7">
            <w:pPr>
              <w:spacing w:after="0" w:line="240" w:lineRule="auto"/>
              <w:jc w:val="center"/>
              <w:rPr>
                <w:rFonts w:ascii="Times New Roman" w:eastAsia="Times New Roman" w:hAnsi="Times New Roman" w:cs="Times New Roman"/>
                <w:b/>
                <w:bCs/>
                <w:color w:val="000000"/>
                <w:sz w:val="16"/>
                <w:szCs w:val="16"/>
                <w:lang w:eastAsia="ru-RU"/>
              </w:rPr>
            </w:pPr>
            <w:r w:rsidRPr="00756C0C">
              <w:rPr>
                <w:rFonts w:ascii="Times New Roman" w:eastAsia="Times New Roman" w:hAnsi="Times New Roman" w:cs="Times New Roman"/>
                <w:b/>
                <w:bCs/>
                <w:color w:val="000000"/>
                <w:sz w:val="16"/>
                <w:szCs w:val="16"/>
                <w:lang w:eastAsia="ru-RU"/>
              </w:rPr>
              <w:t>Наименование характеристики</w:t>
            </w:r>
          </w:p>
        </w:tc>
        <w:tc>
          <w:tcPr>
            <w:tcW w:w="407" w:type="pct"/>
            <w:tcBorders>
              <w:top w:val="nil"/>
              <w:left w:val="nil"/>
              <w:bottom w:val="single" w:sz="4" w:space="0" w:color="auto"/>
              <w:right w:val="single" w:sz="4" w:space="0" w:color="auto"/>
            </w:tcBorders>
            <w:vAlign w:val="center"/>
            <w:hideMark/>
          </w:tcPr>
          <w:p w:rsidR="00756C0C" w:rsidRPr="00756C0C" w:rsidRDefault="00756C0C" w:rsidP="000B58C7">
            <w:pPr>
              <w:spacing w:after="0" w:line="240" w:lineRule="auto"/>
              <w:jc w:val="center"/>
              <w:rPr>
                <w:rFonts w:ascii="Times New Roman" w:eastAsia="Times New Roman" w:hAnsi="Times New Roman" w:cs="Times New Roman"/>
                <w:b/>
                <w:bCs/>
                <w:color w:val="000000"/>
                <w:sz w:val="16"/>
                <w:szCs w:val="16"/>
                <w:lang w:eastAsia="ru-RU"/>
              </w:rPr>
            </w:pPr>
            <w:r w:rsidRPr="00756C0C">
              <w:rPr>
                <w:rFonts w:ascii="Times New Roman" w:eastAsia="Times New Roman" w:hAnsi="Times New Roman" w:cs="Times New Roman"/>
                <w:b/>
                <w:bCs/>
                <w:color w:val="000000"/>
                <w:sz w:val="16"/>
                <w:szCs w:val="16"/>
                <w:lang w:eastAsia="ru-RU"/>
              </w:rPr>
              <w:t>Значение характеристики</w:t>
            </w:r>
          </w:p>
        </w:tc>
        <w:tc>
          <w:tcPr>
            <w:tcW w:w="362" w:type="pct"/>
            <w:tcBorders>
              <w:top w:val="nil"/>
              <w:left w:val="nil"/>
              <w:bottom w:val="single" w:sz="4" w:space="0" w:color="auto"/>
              <w:right w:val="single" w:sz="4" w:space="0" w:color="auto"/>
            </w:tcBorders>
            <w:vAlign w:val="center"/>
            <w:hideMark/>
          </w:tcPr>
          <w:p w:rsidR="00756C0C" w:rsidRPr="00756C0C" w:rsidRDefault="00756C0C" w:rsidP="000B58C7">
            <w:pPr>
              <w:spacing w:after="0" w:line="240" w:lineRule="auto"/>
              <w:jc w:val="center"/>
              <w:rPr>
                <w:rFonts w:ascii="Times New Roman" w:eastAsia="Times New Roman" w:hAnsi="Times New Roman" w:cs="Times New Roman"/>
                <w:b/>
                <w:bCs/>
                <w:color w:val="000000"/>
                <w:sz w:val="16"/>
                <w:szCs w:val="16"/>
                <w:lang w:eastAsia="ru-RU"/>
              </w:rPr>
            </w:pPr>
            <w:r w:rsidRPr="00756C0C">
              <w:rPr>
                <w:rFonts w:ascii="Times New Roman" w:eastAsia="Times New Roman" w:hAnsi="Times New Roman" w:cs="Times New Roman"/>
                <w:b/>
                <w:bCs/>
                <w:color w:val="000000"/>
                <w:sz w:val="16"/>
                <w:szCs w:val="16"/>
                <w:lang w:eastAsia="ru-RU"/>
              </w:rPr>
              <w:t>Единица измерения характеристики</w:t>
            </w:r>
          </w:p>
        </w:tc>
        <w:tc>
          <w:tcPr>
            <w:tcW w:w="542" w:type="pct"/>
            <w:tcBorders>
              <w:top w:val="nil"/>
              <w:left w:val="nil"/>
              <w:bottom w:val="single" w:sz="4" w:space="0" w:color="auto"/>
              <w:right w:val="single" w:sz="4" w:space="0" w:color="auto"/>
            </w:tcBorders>
            <w:vAlign w:val="center"/>
            <w:hideMark/>
          </w:tcPr>
          <w:p w:rsidR="00756C0C" w:rsidRPr="00756C0C" w:rsidRDefault="00756C0C" w:rsidP="000B58C7">
            <w:pPr>
              <w:spacing w:after="0" w:line="240" w:lineRule="auto"/>
              <w:jc w:val="center"/>
              <w:rPr>
                <w:rFonts w:ascii="Times New Roman" w:eastAsia="Times New Roman" w:hAnsi="Times New Roman" w:cs="Times New Roman"/>
                <w:b/>
                <w:bCs/>
                <w:color w:val="000000"/>
                <w:sz w:val="16"/>
                <w:szCs w:val="16"/>
                <w:lang w:eastAsia="ru-RU"/>
              </w:rPr>
            </w:pPr>
            <w:r w:rsidRPr="00756C0C">
              <w:rPr>
                <w:rFonts w:ascii="Times New Roman" w:eastAsia="Times New Roman" w:hAnsi="Times New Roman" w:cs="Times New Roman"/>
                <w:b/>
                <w:bCs/>
                <w:color w:val="000000"/>
                <w:sz w:val="16"/>
                <w:szCs w:val="16"/>
                <w:lang w:eastAsia="ru-RU"/>
              </w:rPr>
              <w:t>Инструкция по заполнению характеристик в заявке</w:t>
            </w:r>
          </w:p>
        </w:tc>
        <w:tc>
          <w:tcPr>
            <w:tcW w:w="679" w:type="pct"/>
            <w:vMerge/>
            <w:tcBorders>
              <w:top w:val="single" w:sz="4" w:space="0" w:color="auto"/>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b/>
                <w:bCs/>
                <w:color w:val="000000"/>
                <w:sz w:val="16"/>
                <w:szCs w:val="16"/>
                <w:lang w:eastAsia="ru-RU"/>
              </w:rPr>
            </w:pPr>
          </w:p>
        </w:tc>
        <w:tc>
          <w:tcPr>
            <w:tcW w:w="271" w:type="pct"/>
            <w:vMerge/>
            <w:tcBorders>
              <w:top w:val="single" w:sz="4" w:space="0" w:color="auto"/>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b/>
                <w:bCs/>
                <w:color w:val="000000"/>
                <w:sz w:val="16"/>
                <w:szCs w:val="16"/>
                <w:lang w:eastAsia="ru-RU"/>
              </w:rPr>
            </w:pP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b/>
                <w:bCs/>
                <w:color w:val="000000"/>
                <w:sz w:val="16"/>
                <w:szCs w:val="16"/>
                <w:lang w:eastAsia="ru-RU"/>
              </w:rPr>
            </w:pPr>
          </w:p>
        </w:tc>
        <w:tc>
          <w:tcPr>
            <w:tcW w:w="316" w:type="pct"/>
            <w:vMerge/>
            <w:tcBorders>
              <w:top w:val="single" w:sz="4" w:space="0" w:color="auto"/>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single" w:sz="4" w:space="0" w:color="auto"/>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2563"/>
        </w:trPr>
        <w:tc>
          <w:tcPr>
            <w:tcW w:w="137" w:type="pct"/>
            <w:vMerge w:val="restart"/>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1</w:t>
            </w:r>
          </w:p>
        </w:tc>
        <w:tc>
          <w:tcPr>
            <w:tcW w:w="398" w:type="pct"/>
            <w:vMerge w:val="restart"/>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Клапан инфузионной системы внутривенных вливаний</w:t>
            </w:r>
          </w:p>
        </w:tc>
        <w:tc>
          <w:tcPr>
            <w:tcW w:w="362" w:type="pct"/>
            <w:vMerge w:val="restart"/>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32.50.50.190-00000116*</w:t>
            </w:r>
          </w:p>
        </w:tc>
        <w:tc>
          <w:tcPr>
            <w:tcW w:w="452" w:type="pct"/>
            <w:tcBorders>
              <w:top w:val="single" w:sz="4" w:space="0" w:color="auto"/>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eastAsia="Times New Roman" w:hAnsi="Times New Roman" w:cs="Times New Roman"/>
                <w:bCs/>
                <w:color w:val="000000"/>
                <w:sz w:val="16"/>
                <w:szCs w:val="16"/>
              </w:rPr>
              <w:t>Блок из пяти кранов</w:t>
            </w:r>
          </w:p>
        </w:tc>
        <w:tc>
          <w:tcPr>
            <w:tcW w:w="407" w:type="pct"/>
            <w:tcBorders>
              <w:top w:val="single" w:sz="4" w:space="0" w:color="auto"/>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Соответствие</w:t>
            </w:r>
          </w:p>
        </w:tc>
        <w:tc>
          <w:tcPr>
            <w:tcW w:w="36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single" w:sz="4" w:space="0" w:color="auto"/>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Позволяет доставлять в кровоток пациента до 5 видов лекарств последовательно или одномоментно</w:t>
            </w:r>
          </w:p>
        </w:tc>
        <w:tc>
          <w:tcPr>
            <w:tcW w:w="271" w:type="pct"/>
            <w:vMerge w:val="restart"/>
            <w:tcBorders>
              <w:top w:val="nil"/>
              <w:left w:val="single" w:sz="4" w:space="0" w:color="auto"/>
              <w:bottom w:val="single" w:sz="4" w:space="0" w:color="auto"/>
              <w:right w:val="single" w:sz="4" w:space="0" w:color="auto"/>
            </w:tcBorders>
            <w:vAlign w:val="center"/>
            <w:hideMark/>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штука</w:t>
            </w:r>
          </w:p>
        </w:tc>
        <w:tc>
          <w:tcPr>
            <w:tcW w:w="317" w:type="pct"/>
            <w:vMerge w:val="restart"/>
            <w:tcBorders>
              <w:top w:val="nil"/>
              <w:left w:val="single" w:sz="4" w:space="0" w:color="auto"/>
              <w:bottom w:val="single" w:sz="4" w:space="0" w:color="auto"/>
              <w:right w:val="single" w:sz="4" w:space="0" w:color="auto"/>
            </w:tcBorders>
            <w:vAlign w:val="center"/>
            <w:hideMark/>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15</w:t>
            </w:r>
          </w:p>
        </w:tc>
        <w:tc>
          <w:tcPr>
            <w:tcW w:w="316" w:type="pct"/>
            <w:vMerge w:val="restart"/>
            <w:tcBorders>
              <w:top w:val="nil"/>
              <w:left w:val="single" w:sz="4" w:space="0" w:color="auto"/>
              <w:bottom w:val="single" w:sz="4" w:space="0" w:color="000000"/>
              <w:right w:val="single" w:sz="4" w:space="0" w:color="auto"/>
            </w:tcBorders>
            <w:noWrap/>
            <w:vAlign w:val="bottom"/>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w:t>
            </w:r>
          </w:p>
        </w:tc>
        <w:tc>
          <w:tcPr>
            <w:tcW w:w="272" w:type="pct"/>
            <w:vMerge w:val="restart"/>
            <w:tcBorders>
              <w:top w:val="nil"/>
              <w:left w:val="single" w:sz="4" w:space="0" w:color="auto"/>
              <w:bottom w:val="single" w:sz="4" w:space="0" w:color="000000"/>
              <w:right w:val="single" w:sz="4" w:space="0" w:color="auto"/>
            </w:tcBorders>
            <w:noWrap/>
            <w:vAlign w:val="bottom"/>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w:t>
            </w:r>
          </w:p>
        </w:tc>
        <w:tc>
          <w:tcPr>
            <w:tcW w:w="226" w:type="pct"/>
            <w:vMerge w:val="restart"/>
            <w:tcBorders>
              <w:top w:val="nil"/>
              <w:left w:val="single" w:sz="4" w:space="0" w:color="auto"/>
              <w:bottom w:val="single" w:sz="4" w:space="0" w:color="000000"/>
              <w:right w:val="single" w:sz="4" w:space="0" w:color="auto"/>
            </w:tcBorders>
            <w:noWrap/>
            <w:vAlign w:val="bottom"/>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w:t>
            </w:r>
          </w:p>
        </w:tc>
        <w:tc>
          <w:tcPr>
            <w:tcW w:w="259" w:type="pct"/>
            <w:vMerge w:val="restart"/>
            <w:tcBorders>
              <w:top w:val="nil"/>
              <w:left w:val="single" w:sz="4" w:space="0" w:color="auto"/>
              <w:bottom w:val="single" w:sz="4" w:space="0" w:color="000000"/>
              <w:right w:val="single" w:sz="4" w:space="0" w:color="auto"/>
            </w:tcBorders>
            <w:noWrap/>
            <w:vAlign w:val="bottom"/>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w:t>
            </w: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single" w:sz="4" w:space="0" w:color="auto"/>
              <w:left w:val="nil"/>
              <w:bottom w:val="single" w:sz="4" w:space="0" w:color="auto"/>
              <w:right w:val="single" w:sz="4" w:space="0" w:color="auto"/>
            </w:tcBorders>
            <w:hideMark/>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Цвет корпуса: прозрачный</w:t>
            </w:r>
          </w:p>
        </w:tc>
        <w:tc>
          <w:tcPr>
            <w:tcW w:w="407" w:type="pct"/>
            <w:tcBorders>
              <w:top w:val="single" w:sz="4" w:space="0" w:color="auto"/>
              <w:left w:val="nil"/>
              <w:bottom w:val="single" w:sz="4" w:space="0" w:color="auto"/>
              <w:right w:val="single" w:sz="4" w:space="0" w:color="auto"/>
            </w:tcBorders>
            <w:vAlign w:val="center"/>
            <w:hideMark/>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Соответствие</w:t>
            </w:r>
          </w:p>
        </w:tc>
        <w:tc>
          <w:tcPr>
            <w:tcW w:w="362" w:type="pct"/>
            <w:tcBorders>
              <w:top w:val="single" w:sz="4" w:space="0" w:color="auto"/>
              <w:left w:val="nil"/>
              <w:bottom w:val="single" w:sz="4" w:space="0" w:color="auto"/>
              <w:right w:val="single" w:sz="4" w:space="0" w:color="auto"/>
            </w:tcBorders>
            <w:vAlign w:val="center"/>
            <w:hideMark/>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single" w:sz="4" w:space="0" w:color="auto"/>
              <w:left w:val="nil"/>
              <w:bottom w:val="single" w:sz="4" w:space="0" w:color="auto"/>
              <w:right w:val="single" w:sz="4" w:space="0" w:color="auto"/>
            </w:tcBorders>
            <w:vAlign w:val="center"/>
            <w:hideMark/>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single" w:sz="4" w:space="0" w:color="auto"/>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eastAsia="Times New Roman" w:hAnsi="Times New Roman" w:cs="Times New Roman"/>
                <w:bCs/>
                <w:color w:val="000000"/>
                <w:sz w:val="16"/>
                <w:szCs w:val="16"/>
              </w:rPr>
              <w:t>Обеспечивает хорошую визуализацию за счёт прозрачности</w:t>
            </w:r>
          </w:p>
        </w:tc>
        <w:tc>
          <w:tcPr>
            <w:tcW w:w="271"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hideMark/>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Тип корпуса: Т-образный с прямоточными каналами</w:t>
            </w:r>
          </w:p>
        </w:tc>
        <w:tc>
          <w:tcPr>
            <w:tcW w:w="407" w:type="pct"/>
            <w:tcBorders>
              <w:top w:val="nil"/>
              <w:left w:val="nil"/>
              <w:bottom w:val="single" w:sz="4" w:space="0" w:color="auto"/>
              <w:right w:val="single" w:sz="4" w:space="0" w:color="auto"/>
            </w:tcBorders>
            <w:vAlign w:val="center"/>
            <w:hideMark/>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Соответствие</w:t>
            </w:r>
          </w:p>
        </w:tc>
        <w:tc>
          <w:tcPr>
            <w:tcW w:w="362" w:type="pct"/>
            <w:tcBorders>
              <w:top w:val="nil"/>
              <w:left w:val="nil"/>
              <w:bottom w:val="single" w:sz="4" w:space="0" w:color="auto"/>
              <w:right w:val="single" w:sz="4" w:space="0" w:color="auto"/>
            </w:tcBorders>
            <w:vAlign w:val="center"/>
            <w:hideMark/>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hideMark/>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Прямоточные внутренние каналы обеспечивают инфузию в необходимом направлении без потери скорости</w:t>
            </w:r>
          </w:p>
        </w:tc>
        <w:tc>
          <w:tcPr>
            <w:tcW w:w="271"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hideMark/>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Тип соединений Люэр Лок</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hideMark/>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Данный тип коннктеора обеспечивает герметичность соединения</w:t>
            </w:r>
          </w:p>
        </w:tc>
        <w:tc>
          <w:tcPr>
            <w:tcW w:w="271"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hideMark/>
          </w:tcPr>
          <w:p w:rsidR="00756C0C" w:rsidRPr="00756C0C" w:rsidRDefault="00756C0C" w:rsidP="000B58C7">
            <w:pPr>
              <w:rPr>
                <w:rFonts w:ascii="Times New Roman" w:hAnsi="Times New Roman" w:cs="Times New Roman"/>
                <w:sz w:val="16"/>
                <w:szCs w:val="16"/>
              </w:rPr>
            </w:pPr>
            <w:r w:rsidRPr="00756C0C">
              <w:rPr>
                <w:rFonts w:ascii="Times New Roman" w:hAnsi="Times New Roman" w:cs="Times New Roman"/>
                <w:sz w:val="16"/>
                <w:szCs w:val="16"/>
              </w:rPr>
              <w:t>Регуляторы потоков с щелчковым фиксатором поворота 360°</w:t>
            </w:r>
          </w:p>
        </w:tc>
        <w:tc>
          <w:tcPr>
            <w:tcW w:w="407" w:type="pct"/>
            <w:tcBorders>
              <w:top w:val="nil"/>
              <w:left w:val="nil"/>
              <w:bottom w:val="single" w:sz="4" w:space="0" w:color="auto"/>
              <w:right w:val="single" w:sz="4" w:space="0" w:color="auto"/>
            </w:tcBorders>
            <w:vAlign w:val="center"/>
            <w:hideMark/>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Соответствие</w:t>
            </w:r>
          </w:p>
        </w:tc>
        <w:tc>
          <w:tcPr>
            <w:tcW w:w="362" w:type="pct"/>
            <w:tcBorders>
              <w:top w:val="nil"/>
              <w:left w:val="nil"/>
              <w:bottom w:val="single" w:sz="4" w:space="0" w:color="auto"/>
              <w:right w:val="single" w:sz="4" w:space="0" w:color="auto"/>
            </w:tcBorders>
            <w:vAlign w:val="center"/>
            <w:hideMark/>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hideMark/>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sz w:val="16"/>
                <w:szCs w:val="16"/>
              </w:rPr>
            </w:pPr>
            <w:r w:rsidRPr="00756C0C">
              <w:rPr>
                <w:rFonts w:ascii="Times New Roman" w:hAnsi="Times New Roman" w:cs="Times New Roman"/>
                <w:sz w:val="16"/>
                <w:szCs w:val="16"/>
              </w:rPr>
              <w:t>Тактильное ощущение при переключении между рабочими позициями позволяет быстро и легко установить кран в требуемом положении</w:t>
            </w:r>
          </w:p>
        </w:tc>
        <w:tc>
          <w:tcPr>
            <w:tcW w:w="271"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Шаг поворота 45°</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Механизм фиксации позволяет тактильно чувствовать поворот крана</w:t>
            </w:r>
          </w:p>
        </w:tc>
        <w:tc>
          <w:tcPr>
            <w:tcW w:w="271"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Встроенный адаптер свободного вращения</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Позволяет поворачивать кран без риска перекручивания трубки и отсоединения линии. Защищающий систему от разгерметизации и инфицирования</w:t>
            </w:r>
          </w:p>
        </w:tc>
        <w:tc>
          <w:tcPr>
            <w:tcW w:w="271"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 xml:space="preserve">Устойчивость к давлению </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≥2</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бар</w:t>
            </w: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Участник закупки указывает в заявке конкретное значение</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Резистентность к давлению не ниже 2 бар требуется для использования со шприцевыми насосами, так как расходные материалы должны выдерживать нагнетаемое давление</w:t>
            </w:r>
          </w:p>
        </w:tc>
        <w:tc>
          <w:tcPr>
            <w:tcW w:w="271"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Крепежная планка для фиксации при помощи зажима для инфузионной стойки</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Обеспечивает дополнительное удобство использования, экономии места и снижает риск случайного отсоединения от линии</w:t>
            </w:r>
          </w:p>
        </w:tc>
        <w:tc>
          <w:tcPr>
            <w:tcW w:w="271"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Возможность использования для введения высокомолекулярных растворов, жировых эмульсий, при переливании крови</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Повышенная химическая устойчивость материала позволяет использовать кран с опасными лекарственными средствами без риска протечки</w:t>
            </w:r>
          </w:p>
        </w:tc>
        <w:tc>
          <w:tcPr>
            <w:tcW w:w="271"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Цветовая кодировка кранов: синий цвет, желтый цвет, белый цвет, зеленый цвет, красный цвет</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Цветовая кодировка 3-ходовых кранов применяется в стационарах для удобства и быстроты идентификации линии.</w:t>
            </w:r>
          </w:p>
        </w:tc>
        <w:tc>
          <w:tcPr>
            <w:tcW w:w="271"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val="restart"/>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2</w:t>
            </w:r>
          </w:p>
        </w:tc>
        <w:tc>
          <w:tcPr>
            <w:tcW w:w="398" w:type="pct"/>
            <w:vMerge w:val="restart"/>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Клапан инфузионной системы внутривенных вливаний</w:t>
            </w:r>
          </w:p>
        </w:tc>
        <w:tc>
          <w:tcPr>
            <w:tcW w:w="362" w:type="pct"/>
            <w:vMerge w:val="restart"/>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32.50.50.190-00000116*</w:t>
            </w:r>
          </w:p>
        </w:tc>
        <w:tc>
          <w:tcPr>
            <w:tcW w:w="452" w:type="pct"/>
            <w:tcBorders>
              <w:top w:val="nil"/>
              <w:left w:val="nil"/>
              <w:bottom w:val="single" w:sz="4" w:space="0" w:color="auto"/>
              <w:right w:val="single" w:sz="4" w:space="0" w:color="auto"/>
            </w:tcBorders>
            <w:vAlign w:val="center"/>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rPr>
            </w:pPr>
            <w:r w:rsidRPr="00756C0C">
              <w:rPr>
                <w:rFonts w:ascii="Times New Roman" w:eastAsia="Times New Roman" w:hAnsi="Times New Roman" w:cs="Times New Roman"/>
                <w:bCs/>
                <w:color w:val="000000"/>
                <w:sz w:val="16"/>
                <w:szCs w:val="16"/>
              </w:rPr>
              <w:t>Блок из трех кранов</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bCs/>
                <w:color w:val="000000"/>
                <w:sz w:val="16"/>
                <w:szCs w:val="16"/>
              </w:rPr>
            </w:pPr>
            <w:r w:rsidRPr="00756C0C">
              <w:rPr>
                <w:rFonts w:ascii="Times New Roman" w:eastAsia="Times New Roman" w:hAnsi="Times New Roman" w:cs="Times New Roman"/>
                <w:bCs/>
                <w:color w:val="000000"/>
                <w:sz w:val="16"/>
                <w:szCs w:val="16"/>
              </w:rPr>
              <w:t>Позволяет доставлять в кровоток пациента до 3 видов лекарств последовательно или одномоментно</w:t>
            </w:r>
          </w:p>
        </w:tc>
        <w:tc>
          <w:tcPr>
            <w:tcW w:w="271" w:type="pct"/>
            <w:vMerge w:val="restart"/>
            <w:tcBorders>
              <w:top w:val="nil"/>
              <w:left w:val="single" w:sz="4" w:space="0" w:color="auto"/>
              <w:bottom w:val="single" w:sz="4" w:space="0" w:color="auto"/>
              <w:right w:val="single" w:sz="4" w:space="0" w:color="auto"/>
            </w:tcBorders>
            <w:vAlign w:val="center"/>
            <w:hideMark/>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штука</w:t>
            </w:r>
          </w:p>
        </w:tc>
        <w:tc>
          <w:tcPr>
            <w:tcW w:w="317" w:type="pct"/>
            <w:vMerge w:val="restart"/>
            <w:tcBorders>
              <w:top w:val="nil"/>
              <w:left w:val="single" w:sz="4" w:space="0" w:color="auto"/>
              <w:bottom w:val="single" w:sz="4" w:space="0" w:color="auto"/>
              <w:right w:val="single" w:sz="4" w:space="0" w:color="auto"/>
            </w:tcBorders>
            <w:vAlign w:val="center"/>
            <w:hideMark/>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230</w:t>
            </w:r>
          </w:p>
        </w:tc>
        <w:tc>
          <w:tcPr>
            <w:tcW w:w="316" w:type="pct"/>
            <w:vMerge w:val="restart"/>
            <w:tcBorders>
              <w:top w:val="nil"/>
              <w:left w:val="single" w:sz="4" w:space="0" w:color="auto"/>
              <w:bottom w:val="single" w:sz="4" w:space="0" w:color="000000"/>
              <w:right w:val="single" w:sz="4" w:space="0" w:color="auto"/>
            </w:tcBorders>
            <w:noWrap/>
            <w:vAlign w:val="bottom"/>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w:t>
            </w:r>
          </w:p>
        </w:tc>
        <w:tc>
          <w:tcPr>
            <w:tcW w:w="272" w:type="pct"/>
            <w:vMerge w:val="restart"/>
            <w:tcBorders>
              <w:top w:val="nil"/>
              <w:left w:val="single" w:sz="4" w:space="0" w:color="auto"/>
              <w:bottom w:val="single" w:sz="4" w:space="0" w:color="000000"/>
              <w:right w:val="single" w:sz="4" w:space="0" w:color="auto"/>
            </w:tcBorders>
            <w:noWrap/>
            <w:vAlign w:val="bottom"/>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w:t>
            </w:r>
          </w:p>
        </w:tc>
        <w:tc>
          <w:tcPr>
            <w:tcW w:w="226" w:type="pct"/>
            <w:vMerge w:val="restart"/>
            <w:tcBorders>
              <w:top w:val="nil"/>
              <w:left w:val="single" w:sz="4" w:space="0" w:color="auto"/>
              <w:bottom w:val="single" w:sz="4" w:space="0" w:color="000000"/>
              <w:right w:val="single" w:sz="4" w:space="0" w:color="auto"/>
            </w:tcBorders>
            <w:noWrap/>
            <w:vAlign w:val="bottom"/>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w:t>
            </w:r>
          </w:p>
        </w:tc>
        <w:tc>
          <w:tcPr>
            <w:tcW w:w="259" w:type="pct"/>
            <w:vMerge w:val="restart"/>
            <w:tcBorders>
              <w:top w:val="nil"/>
              <w:left w:val="single" w:sz="4" w:space="0" w:color="auto"/>
              <w:bottom w:val="single" w:sz="4" w:space="0" w:color="000000"/>
              <w:right w:val="single" w:sz="4" w:space="0" w:color="auto"/>
            </w:tcBorders>
            <w:noWrap/>
            <w:vAlign w:val="bottom"/>
            <w:hideMark/>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w:t>
            </w: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Цвет корпуса - прозрачный</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rPr>
            </w:pPr>
            <w:r w:rsidRPr="00756C0C">
              <w:rPr>
                <w:rFonts w:ascii="Times New Roman" w:eastAsia="Times New Roman" w:hAnsi="Times New Roman" w:cs="Times New Roman"/>
                <w:color w:val="000000"/>
                <w:sz w:val="16"/>
                <w:szCs w:val="16"/>
              </w:rPr>
              <w:t>Обеспечивает хорошую визуализацию за счёт прозрачности</w:t>
            </w:r>
          </w:p>
        </w:tc>
        <w:tc>
          <w:tcPr>
            <w:tcW w:w="271"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Тип корпуса: Т-образный с прямоточными каналами</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Прямоточные внутренние каналы обеспечивают инфузию в необходимом направлении без потери скорости</w:t>
            </w:r>
          </w:p>
        </w:tc>
        <w:tc>
          <w:tcPr>
            <w:tcW w:w="271"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Тип соединений Люэр Лок</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Данный тип коннктеора обеспечивает герметичность соединения</w:t>
            </w:r>
          </w:p>
        </w:tc>
        <w:tc>
          <w:tcPr>
            <w:tcW w:w="271"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sz w:val="16"/>
                <w:szCs w:val="16"/>
              </w:rPr>
            </w:pPr>
            <w:r w:rsidRPr="00756C0C">
              <w:rPr>
                <w:rFonts w:ascii="Times New Roman" w:hAnsi="Times New Roman" w:cs="Times New Roman"/>
                <w:sz w:val="16"/>
                <w:szCs w:val="16"/>
              </w:rPr>
              <w:t>Регуляторы потоков с щелчковым фиксатором поворота 360°</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sz w:val="16"/>
                <w:szCs w:val="16"/>
              </w:rPr>
            </w:pPr>
            <w:r w:rsidRPr="00756C0C">
              <w:rPr>
                <w:rFonts w:ascii="Times New Roman" w:hAnsi="Times New Roman" w:cs="Times New Roman"/>
                <w:sz w:val="16"/>
                <w:szCs w:val="16"/>
              </w:rPr>
              <w:t>Тактильное ощущение при переключении между рабочими позициями позволяет быстро и легко установить кран в требуемом положении</w:t>
            </w:r>
          </w:p>
        </w:tc>
        <w:tc>
          <w:tcPr>
            <w:tcW w:w="271"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Шаг поворота 45°</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eastAsia="Times New Roman" w:hAnsi="Times New Roman" w:cs="Times New Roman"/>
                <w:color w:val="000000"/>
                <w:sz w:val="16"/>
                <w:szCs w:val="16"/>
              </w:rPr>
              <w:t>Механизм фиксации позволяет тактильно чувствовать поворот крана</w:t>
            </w:r>
          </w:p>
        </w:tc>
        <w:tc>
          <w:tcPr>
            <w:tcW w:w="271"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Встроенный адаптер свободного вращения</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Позволяет поворачивать кран без риска перекручивания трубки и отсоединения линии. Защищающий систему от разгерметизации и инфицирования</w:t>
            </w:r>
          </w:p>
        </w:tc>
        <w:tc>
          <w:tcPr>
            <w:tcW w:w="271"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 xml:space="preserve">Устойчивость к давлению </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≥2</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бар</w:t>
            </w: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Участник закупки указывает в заявке конкретное значение</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Резистентность к давлению не ниже 2 бар требуется для использования со шприцевыми насосами, так как расходные материалы должны выдерживать нагнетаемое давление</w:t>
            </w:r>
          </w:p>
        </w:tc>
        <w:tc>
          <w:tcPr>
            <w:tcW w:w="271"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hideMark/>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Крепежная планка для фиксации при помощи зажима для инфузионной стойки</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Обеспечивает дополнительное удобство использования, экономии места и снижает риск случайного отсоединения от линии</w:t>
            </w:r>
          </w:p>
        </w:tc>
        <w:tc>
          <w:tcPr>
            <w:tcW w:w="271"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Возможность использования для введения высокомолекулярных растворов, жировых эмульсий, при переливании крови</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Повышенная химическая устойчивость материала позволяет использовать кран с опасными лекарственными средствами без риска протечки</w:t>
            </w:r>
          </w:p>
        </w:tc>
        <w:tc>
          <w:tcPr>
            <w:tcW w:w="271"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000000"/>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nil"/>
              <w:left w:val="nil"/>
              <w:bottom w:val="single" w:sz="4" w:space="0" w:color="auto"/>
              <w:right w:val="single" w:sz="4" w:space="0" w:color="auto"/>
            </w:tcBorders>
          </w:tcPr>
          <w:p w:rsidR="00756C0C" w:rsidRPr="00756C0C" w:rsidRDefault="00756C0C" w:rsidP="000B58C7">
            <w:pPr>
              <w:rPr>
                <w:rFonts w:ascii="Times New Roman" w:hAnsi="Times New Roman" w:cs="Times New Roman"/>
                <w:color w:val="000000"/>
                <w:sz w:val="16"/>
                <w:szCs w:val="16"/>
              </w:rPr>
            </w:pPr>
            <w:r w:rsidRPr="00756C0C">
              <w:rPr>
                <w:rFonts w:ascii="Times New Roman" w:hAnsi="Times New Roman" w:cs="Times New Roman"/>
                <w:color w:val="000000"/>
                <w:sz w:val="16"/>
                <w:szCs w:val="16"/>
              </w:rPr>
              <w:t>Цветовая кодировка кранов :синий цвет, красный цвет, желтый цвет</w:t>
            </w:r>
          </w:p>
        </w:tc>
        <w:tc>
          <w:tcPr>
            <w:tcW w:w="407" w:type="pct"/>
            <w:tcBorders>
              <w:top w:val="nil"/>
              <w:left w:val="nil"/>
              <w:bottom w:val="single" w:sz="4" w:space="0" w:color="auto"/>
              <w:right w:val="single" w:sz="4" w:space="0" w:color="auto"/>
            </w:tcBorders>
            <w:vAlign w:val="center"/>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Соответствие</w:t>
            </w:r>
          </w:p>
        </w:tc>
        <w:tc>
          <w:tcPr>
            <w:tcW w:w="36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nil"/>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nil"/>
              <w:left w:val="nil"/>
              <w:bottom w:val="single" w:sz="4" w:space="0" w:color="auto"/>
              <w:right w:val="single" w:sz="4" w:space="0" w:color="auto"/>
            </w:tcBorders>
          </w:tcPr>
          <w:p w:rsidR="00756C0C" w:rsidRPr="00756C0C" w:rsidRDefault="00756C0C" w:rsidP="00756C0C">
            <w:pPr>
              <w:jc w:val="center"/>
              <w:rPr>
                <w:rFonts w:ascii="Times New Roman" w:hAnsi="Times New Roman" w:cs="Times New Roman"/>
                <w:color w:val="000000"/>
                <w:sz w:val="16"/>
                <w:szCs w:val="16"/>
              </w:rPr>
            </w:pPr>
            <w:r w:rsidRPr="00756C0C">
              <w:rPr>
                <w:rFonts w:ascii="Times New Roman" w:hAnsi="Times New Roman" w:cs="Times New Roman"/>
                <w:color w:val="000000"/>
                <w:sz w:val="16"/>
                <w:szCs w:val="16"/>
              </w:rPr>
              <w:t>Цветовая кодировка 3-ходовых кранов применяется в стационарах для удобства и быстроты идентификации линии.</w:t>
            </w:r>
          </w:p>
        </w:tc>
        <w:tc>
          <w:tcPr>
            <w:tcW w:w="271"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top w:val="nil"/>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val="restart"/>
            <w:tcBorders>
              <w:top w:val="single" w:sz="4" w:space="0" w:color="auto"/>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3</w:t>
            </w:r>
          </w:p>
        </w:tc>
        <w:tc>
          <w:tcPr>
            <w:tcW w:w="398" w:type="pct"/>
            <w:vMerge w:val="restart"/>
            <w:tcBorders>
              <w:top w:val="single" w:sz="4" w:space="0" w:color="auto"/>
              <w:left w:val="single" w:sz="4" w:space="0" w:color="auto"/>
              <w:right w:val="single" w:sz="4" w:space="0" w:color="auto"/>
            </w:tcBorders>
            <w:vAlign w:val="center"/>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Набор для удлинения магистрали для внутривенных вливаний</w:t>
            </w:r>
          </w:p>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p>
        </w:tc>
        <w:tc>
          <w:tcPr>
            <w:tcW w:w="362" w:type="pct"/>
            <w:vMerge w:val="restart"/>
            <w:tcBorders>
              <w:top w:val="single" w:sz="4" w:space="0" w:color="auto"/>
              <w:left w:val="single" w:sz="4" w:space="0" w:color="auto"/>
              <w:right w:val="single" w:sz="4" w:space="0" w:color="auto"/>
            </w:tcBorders>
            <w:vAlign w:val="center"/>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32.50.50.190-00000118*</w:t>
            </w:r>
          </w:p>
        </w:tc>
        <w:tc>
          <w:tcPr>
            <w:tcW w:w="452" w:type="pct"/>
            <w:tcBorders>
              <w:top w:val="single" w:sz="4" w:space="0" w:color="auto"/>
              <w:left w:val="nil"/>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xml:space="preserve">Линия удлинительная высокого давления для шприцевых насосов </w:t>
            </w:r>
          </w:p>
        </w:tc>
        <w:tc>
          <w:tcPr>
            <w:tcW w:w="407"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прозрачная</w:t>
            </w:r>
          </w:p>
        </w:tc>
        <w:tc>
          <w:tcPr>
            <w:tcW w:w="36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Позволяет проводить автоматизированную инфузию при помощи шприцевых инфузионных насосов</w:t>
            </w:r>
          </w:p>
        </w:tc>
        <w:tc>
          <w:tcPr>
            <w:tcW w:w="271" w:type="pct"/>
            <w:vMerge w:val="restart"/>
            <w:tcBorders>
              <w:top w:val="single" w:sz="4" w:space="0" w:color="auto"/>
              <w:left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штука</w:t>
            </w:r>
          </w:p>
        </w:tc>
        <w:tc>
          <w:tcPr>
            <w:tcW w:w="317" w:type="pct"/>
            <w:vMerge w:val="restart"/>
            <w:tcBorders>
              <w:top w:val="single" w:sz="4" w:space="0" w:color="auto"/>
              <w:left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2661</w:t>
            </w:r>
          </w:p>
        </w:tc>
        <w:tc>
          <w:tcPr>
            <w:tcW w:w="316" w:type="pct"/>
            <w:vMerge w:val="restart"/>
            <w:tcBorders>
              <w:top w:val="single" w:sz="4" w:space="0" w:color="auto"/>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val="restart"/>
            <w:tcBorders>
              <w:top w:val="single" w:sz="4" w:space="0" w:color="auto"/>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val="restart"/>
            <w:tcBorders>
              <w:top w:val="single" w:sz="4" w:space="0" w:color="auto"/>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val="restart"/>
            <w:tcBorders>
              <w:top w:val="single" w:sz="4" w:space="0" w:color="auto"/>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single" w:sz="4" w:space="0" w:color="auto"/>
              <w:left w:val="nil"/>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xml:space="preserve">Соединение: Проксимальное: </w:t>
            </w:r>
          </w:p>
        </w:tc>
        <w:tc>
          <w:tcPr>
            <w:tcW w:w="407"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Люэр Лок, тип female,</w:t>
            </w:r>
          </w:p>
        </w:tc>
        <w:tc>
          <w:tcPr>
            <w:tcW w:w="36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vMerge w:val="restart"/>
            <w:tcBorders>
              <w:top w:val="single" w:sz="4" w:space="0" w:color="auto"/>
              <w:left w:val="nil"/>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Соединения Люэр Лок предотвращают случайное отсоединение линии от пациента и шприца;</w:t>
            </w:r>
          </w:p>
        </w:tc>
        <w:tc>
          <w:tcPr>
            <w:tcW w:w="271"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single" w:sz="4" w:space="0" w:color="auto"/>
              <w:left w:val="nil"/>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xml:space="preserve">Соединение: Дистальное </w:t>
            </w:r>
          </w:p>
        </w:tc>
        <w:tc>
          <w:tcPr>
            <w:tcW w:w="407"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Люэр Лок, тип male;</w:t>
            </w:r>
          </w:p>
        </w:tc>
        <w:tc>
          <w:tcPr>
            <w:tcW w:w="36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vMerge/>
            <w:tcBorders>
              <w:left w:val="nil"/>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1"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single" w:sz="4" w:space="0" w:color="auto"/>
              <w:left w:val="nil"/>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Используемые материалы</w:t>
            </w:r>
          </w:p>
        </w:tc>
        <w:tc>
          <w:tcPr>
            <w:tcW w:w="407"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ПВХ (без фталатов)</w:t>
            </w:r>
          </w:p>
        </w:tc>
        <w:tc>
          <w:tcPr>
            <w:tcW w:w="36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p>
        </w:tc>
        <w:tc>
          <w:tcPr>
            <w:tcW w:w="54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79"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Материалы изготовления важны для понимания их совместимости с лекарственными препаратами, а также предотвращения аллергической реакции у пациента;</w:t>
            </w:r>
          </w:p>
        </w:tc>
        <w:tc>
          <w:tcPr>
            <w:tcW w:w="271"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single" w:sz="4" w:space="0" w:color="auto"/>
              <w:left w:val="nil"/>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xml:space="preserve">Длина линии </w:t>
            </w:r>
          </w:p>
        </w:tc>
        <w:tc>
          <w:tcPr>
            <w:tcW w:w="407"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≥150</w:t>
            </w:r>
          </w:p>
        </w:tc>
        <w:tc>
          <w:tcPr>
            <w:tcW w:w="36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сантиметр</w:t>
            </w:r>
          </w:p>
        </w:tc>
        <w:tc>
          <w:tcPr>
            <w:tcW w:w="54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79"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Требования к размерам линии составлены с учетом потребностей медицинских специалистов при проведении инфузионной терапии и обоснованы спецификой проводимой терапии, удобством работы со шприцевым насосом;</w:t>
            </w:r>
          </w:p>
        </w:tc>
        <w:tc>
          <w:tcPr>
            <w:tcW w:w="271"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single" w:sz="4" w:space="0" w:color="auto"/>
              <w:left w:val="nil"/>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xml:space="preserve">Диаметр наружный </w:t>
            </w:r>
          </w:p>
        </w:tc>
        <w:tc>
          <w:tcPr>
            <w:tcW w:w="407"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≤2,7</w:t>
            </w:r>
          </w:p>
        </w:tc>
        <w:tc>
          <w:tcPr>
            <w:tcW w:w="36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миллиметр</w:t>
            </w:r>
          </w:p>
        </w:tc>
        <w:tc>
          <w:tcPr>
            <w:tcW w:w="54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79"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Требования к наружному диаметру линии составлены с учетом специфики потребностей медицинских специалистов при проведении инфузионной терапии и необходимой скорости инфузии;</w:t>
            </w:r>
          </w:p>
        </w:tc>
        <w:tc>
          <w:tcPr>
            <w:tcW w:w="271"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single" w:sz="4" w:space="0" w:color="auto"/>
              <w:left w:val="nil"/>
              <w:bottom w:val="single" w:sz="4" w:space="0" w:color="auto"/>
              <w:right w:val="single" w:sz="4" w:space="0" w:color="auto"/>
            </w:tcBorders>
            <w:vAlign w:val="center"/>
          </w:tcPr>
          <w:p w:rsidR="00756C0C" w:rsidRPr="00756C0C" w:rsidRDefault="00756C0C" w:rsidP="000B58C7">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Диаметр внутренний</w:t>
            </w:r>
          </w:p>
        </w:tc>
        <w:tc>
          <w:tcPr>
            <w:tcW w:w="407"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≤1,5</w:t>
            </w:r>
          </w:p>
        </w:tc>
        <w:tc>
          <w:tcPr>
            <w:tcW w:w="36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миллиметр</w:t>
            </w:r>
          </w:p>
        </w:tc>
        <w:tc>
          <w:tcPr>
            <w:tcW w:w="54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79"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Требования к внутреннему диаметру линии составлены с учетом специфики потребностей медицинских специалистов при проведении инфузионной терапии и необходимой скорости инфузии;</w:t>
            </w:r>
          </w:p>
        </w:tc>
        <w:tc>
          <w:tcPr>
            <w:tcW w:w="271"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single" w:sz="4" w:space="0" w:color="auto"/>
              <w:left w:val="nil"/>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xml:space="preserve">Объем заполнения на 1 метр трубки </w:t>
            </w:r>
          </w:p>
        </w:tc>
        <w:tc>
          <w:tcPr>
            <w:tcW w:w="407"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≤2,1</w:t>
            </w:r>
          </w:p>
        </w:tc>
        <w:tc>
          <w:tcPr>
            <w:tcW w:w="36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миллилитр</w:t>
            </w:r>
          </w:p>
        </w:tc>
        <w:tc>
          <w:tcPr>
            <w:tcW w:w="54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79"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Требования к объему заполнения линии составлены с учетом специфики потребностей медицинских специалистов при проведении инфузионной терапии и  необходимой скорости инфузии;</w:t>
            </w:r>
          </w:p>
        </w:tc>
        <w:tc>
          <w:tcPr>
            <w:tcW w:w="271"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left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r w:rsidR="00756C0C" w:rsidRPr="00756C0C" w:rsidTr="00756C0C">
        <w:trPr>
          <w:trHeight w:val="402"/>
        </w:trPr>
        <w:tc>
          <w:tcPr>
            <w:tcW w:w="137" w:type="pct"/>
            <w:vMerge/>
            <w:tcBorders>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98" w:type="pct"/>
            <w:vMerge/>
            <w:tcBorders>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62" w:type="pct"/>
            <w:vMerge/>
            <w:tcBorders>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452" w:type="pct"/>
            <w:tcBorders>
              <w:top w:val="single" w:sz="4" w:space="0" w:color="auto"/>
              <w:left w:val="nil"/>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 xml:space="preserve">Резистентность к давлению в системе </w:t>
            </w:r>
          </w:p>
        </w:tc>
        <w:tc>
          <w:tcPr>
            <w:tcW w:w="407"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≥2</w:t>
            </w:r>
          </w:p>
        </w:tc>
        <w:tc>
          <w:tcPr>
            <w:tcW w:w="36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бар.</w:t>
            </w:r>
          </w:p>
        </w:tc>
        <w:tc>
          <w:tcPr>
            <w:tcW w:w="542"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79" w:type="pct"/>
            <w:tcBorders>
              <w:top w:val="single" w:sz="4" w:space="0" w:color="auto"/>
              <w:left w:val="nil"/>
              <w:bottom w:val="single" w:sz="4" w:space="0" w:color="auto"/>
              <w:right w:val="single" w:sz="4" w:space="0" w:color="auto"/>
            </w:tcBorders>
            <w:vAlign w:val="center"/>
          </w:tcPr>
          <w:p w:rsidR="00756C0C" w:rsidRPr="00756C0C" w:rsidRDefault="00756C0C" w:rsidP="00756C0C">
            <w:pPr>
              <w:spacing w:after="0" w:line="240" w:lineRule="auto"/>
              <w:jc w:val="center"/>
              <w:rPr>
                <w:rFonts w:ascii="Times New Roman" w:eastAsia="Times New Roman" w:hAnsi="Times New Roman" w:cs="Times New Roman"/>
                <w:color w:val="000000"/>
                <w:sz w:val="16"/>
                <w:szCs w:val="16"/>
                <w:lang w:eastAsia="ru-RU"/>
              </w:rPr>
            </w:pPr>
            <w:r w:rsidRPr="00756C0C">
              <w:rPr>
                <w:rFonts w:ascii="Times New Roman" w:eastAsia="Times New Roman" w:hAnsi="Times New Roman" w:cs="Times New Roman"/>
                <w:color w:val="000000"/>
                <w:sz w:val="16"/>
                <w:szCs w:val="16"/>
                <w:lang w:eastAsia="ru-RU"/>
              </w:rPr>
              <w:t>Повышенная резистентность к давлению позволяет использовать линию в автоматизированных инфузионных системах для введения лекарств с большой скоростью.</w:t>
            </w:r>
          </w:p>
        </w:tc>
        <w:tc>
          <w:tcPr>
            <w:tcW w:w="271" w:type="pct"/>
            <w:vMerge/>
            <w:tcBorders>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7" w:type="pct"/>
            <w:vMerge/>
            <w:tcBorders>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316" w:type="pct"/>
            <w:vMerge/>
            <w:tcBorders>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72" w:type="pct"/>
            <w:vMerge/>
            <w:tcBorders>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26" w:type="pct"/>
            <w:vMerge/>
            <w:tcBorders>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c>
          <w:tcPr>
            <w:tcW w:w="259" w:type="pct"/>
            <w:vMerge/>
            <w:tcBorders>
              <w:left w:val="single" w:sz="4" w:space="0" w:color="auto"/>
              <w:bottom w:val="single" w:sz="4" w:space="0" w:color="auto"/>
              <w:right w:val="single" w:sz="4" w:space="0" w:color="auto"/>
            </w:tcBorders>
            <w:vAlign w:val="center"/>
          </w:tcPr>
          <w:p w:rsidR="00756C0C" w:rsidRPr="00756C0C" w:rsidRDefault="00756C0C" w:rsidP="000B58C7">
            <w:pPr>
              <w:spacing w:after="0" w:line="240" w:lineRule="auto"/>
              <w:rPr>
                <w:rFonts w:ascii="Times New Roman" w:eastAsia="Times New Roman" w:hAnsi="Times New Roman" w:cs="Times New Roman"/>
                <w:color w:val="000000"/>
                <w:sz w:val="16"/>
                <w:szCs w:val="16"/>
                <w:lang w:eastAsia="ru-RU"/>
              </w:rPr>
            </w:pPr>
          </w:p>
        </w:tc>
      </w:tr>
    </w:tbl>
    <w:p w:rsidR="00756C0C" w:rsidRDefault="00756C0C" w:rsidP="00E52880">
      <w:pPr>
        <w:pStyle w:val="a7"/>
        <w:widowControl w:val="0"/>
        <w:spacing w:after="0"/>
        <w:ind w:left="644"/>
        <w:jc w:val="center"/>
        <w:rPr>
          <w:rFonts w:ascii="Times New Roman" w:hAnsi="Times New Roman"/>
          <w:b/>
          <w:sz w:val="24"/>
          <w:szCs w:val="26"/>
        </w:rPr>
      </w:pPr>
    </w:p>
    <w:p w:rsidR="00756C0C" w:rsidRPr="000437D6" w:rsidRDefault="00756C0C" w:rsidP="00E52880">
      <w:pPr>
        <w:pStyle w:val="a7"/>
        <w:widowControl w:val="0"/>
        <w:spacing w:after="0"/>
        <w:ind w:left="644"/>
        <w:jc w:val="center"/>
        <w:rPr>
          <w:rFonts w:ascii="Times New Roman" w:eastAsia="Courier New" w:hAnsi="Times New Roman" w:cs="Times New Roman"/>
          <w:b/>
        </w:rPr>
      </w:pPr>
    </w:p>
    <w:p w:rsidR="00756C0C" w:rsidRDefault="00756C0C" w:rsidP="00756C0C">
      <w:pPr>
        <w:autoSpaceDE w:val="0"/>
        <w:autoSpaceDN w:val="0"/>
        <w:adjustRightInd w:val="0"/>
        <w:rPr>
          <w:rFonts w:ascii="Times New Roman CYR" w:hAnsi="Times New Roman CYR" w:cs="Times New Roman CYR"/>
          <w:b/>
          <w:bCs/>
        </w:rPr>
      </w:pPr>
      <w:r>
        <w:rPr>
          <w:rFonts w:ascii="Times New Roman CYR" w:hAnsi="Times New Roman CYR" w:cs="Times New Roman CYR"/>
          <w:b/>
          <w:bCs/>
        </w:rPr>
        <w:t>*</w:t>
      </w:r>
      <w:r>
        <w:rPr>
          <w:rFonts w:ascii="Times New Roman CYR" w:hAnsi="Times New Roman CYR" w:cs="Times New Roman CYR"/>
          <w:b/>
          <w:bCs/>
          <w:i/>
          <w:iCs/>
        </w:rPr>
        <w:t>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r>
        <w:rPr>
          <w:rFonts w:ascii="Times New Roman CYR" w:hAnsi="Times New Roman CYR" w:cs="Times New Roman CYR"/>
          <w:b/>
          <w:bCs/>
        </w:rPr>
        <w:t xml:space="preserve"> </w:t>
      </w:r>
      <w:r w:rsidRPr="00B63EA8">
        <w:rPr>
          <w:rFonts w:ascii="Roboto" w:hAnsi="Roboto" w:cs="Roboto"/>
          <w:color w:val="333333"/>
          <w:highlight w:val="white"/>
        </w:rPr>
        <w:t>(</w:t>
      </w:r>
      <w:hyperlink r:id="rId18" w:history="1">
        <w:r>
          <w:rPr>
            <w:rFonts w:ascii="Calibri" w:hAnsi="Calibri" w:cs="Calibri"/>
            <w:color w:val="0064E0"/>
            <w:highlight w:val="white"/>
            <w:u w:val="single"/>
          </w:rPr>
          <w:t>письмо</w:t>
        </w:r>
      </w:hyperlink>
      <w:r>
        <w:rPr>
          <w:rFonts w:ascii="Roboto" w:hAnsi="Roboto" w:cs="Roboto"/>
          <w:color w:val="333333"/>
          <w:highlight w:val="white"/>
          <w:lang w:val="en-US"/>
        </w:rPr>
        <w:t> </w:t>
      </w:r>
      <w:r>
        <w:rPr>
          <w:rFonts w:ascii="Calibri" w:hAnsi="Calibri" w:cs="Calibri"/>
          <w:color w:val="333333"/>
          <w:highlight w:val="white"/>
        </w:rPr>
        <w:t>Минфина</w:t>
      </w:r>
      <w:r w:rsidRPr="00B63EA8">
        <w:rPr>
          <w:rFonts w:ascii="Roboto" w:hAnsi="Roboto" w:cs="Roboto"/>
          <w:color w:val="333333"/>
          <w:highlight w:val="white"/>
        </w:rPr>
        <w:t xml:space="preserve"> </w:t>
      </w:r>
      <w:r>
        <w:rPr>
          <w:rFonts w:ascii="Calibri" w:hAnsi="Calibri" w:cs="Calibri"/>
          <w:color w:val="333333"/>
          <w:highlight w:val="white"/>
        </w:rPr>
        <w:t>России</w:t>
      </w:r>
      <w:r w:rsidRPr="00B63EA8">
        <w:rPr>
          <w:rFonts w:ascii="Roboto" w:hAnsi="Roboto" w:cs="Roboto"/>
          <w:color w:val="333333"/>
          <w:highlight w:val="white"/>
        </w:rPr>
        <w:t xml:space="preserve"> </w:t>
      </w:r>
      <w:r>
        <w:rPr>
          <w:rFonts w:ascii="Calibri" w:hAnsi="Calibri" w:cs="Calibri"/>
          <w:color w:val="333333"/>
          <w:highlight w:val="white"/>
        </w:rPr>
        <w:t>от</w:t>
      </w:r>
      <w:r w:rsidRPr="00B63EA8">
        <w:rPr>
          <w:rFonts w:ascii="Roboto" w:hAnsi="Roboto" w:cs="Roboto"/>
          <w:color w:val="333333"/>
          <w:highlight w:val="white"/>
        </w:rPr>
        <w:t xml:space="preserve"> 24 </w:t>
      </w:r>
      <w:r>
        <w:rPr>
          <w:rFonts w:ascii="Calibri" w:hAnsi="Calibri" w:cs="Calibri"/>
          <w:color w:val="333333"/>
          <w:highlight w:val="white"/>
        </w:rPr>
        <w:t>января</w:t>
      </w:r>
      <w:r w:rsidRPr="00B63EA8">
        <w:rPr>
          <w:rFonts w:ascii="Roboto" w:hAnsi="Roboto" w:cs="Roboto"/>
          <w:color w:val="333333"/>
          <w:highlight w:val="white"/>
        </w:rPr>
        <w:t xml:space="preserve"> 2022 </w:t>
      </w:r>
      <w:r>
        <w:rPr>
          <w:rFonts w:ascii="Calibri" w:hAnsi="Calibri" w:cs="Calibri"/>
          <w:color w:val="333333"/>
          <w:highlight w:val="white"/>
        </w:rPr>
        <w:t>г</w:t>
      </w:r>
      <w:r w:rsidRPr="00B63EA8">
        <w:rPr>
          <w:rFonts w:ascii="Roboto" w:hAnsi="Roboto" w:cs="Roboto"/>
          <w:color w:val="333333"/>
          <w:highlight w:val="white"/>
        </w:rPr>
        <w:t xml:space="preserve">. </w:t>
      </w:r>
      <w:r>
        <w:rPr>
          <w:rFonts w:ascii="Roboto" w:hAnsi="Roboto" w:cs="Roboto"/>
          <w:color w:val="333333"/>
          <w:highlight w:val="white"/>
          <w:lang w:val="en-US"/>
        </w:rPr>
        <w:t>N</w:t>
      </w:r>
      <w:r w:rsidRPr="00B63EA8">
        <w:rPr>
          <w:rFonts w:ascii="Roboto" w:hAnsi="Roboto" w:cs="Roboto"/>
          <w:color w:val="333333"/>
          <w:highlight w:val="white"/>
        </w:rPr>
        <w:t xml:space="preserve"> 24-03-08/4090)</w:t>
      </w:r>
    </w:p>
    <w:p w:rsidR="00170252" w:rsidRDefault="00170252" w:rsidP="000820E3">
      <w:pPr>
        <w:rPr>
          <w:rFonts w:ascii="Times New Roman" w:hAnsi="Times New Roman" w:cs="Times New Roman"/>
          <w:b/>
          <w:sz w:val="28"/>
          <w:szCs w:val="28"/>
        </w:rPr>
      </w:pPr>
    </w:p>
    <w:sectPr w:rsidR="00170252" w:rsidSect="00756C0C">
      <w:headerReference w:type="first" r:id="rId19"/>
      <w:footerReference w:type="first" r:id="rId20"/>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E30" w:rsidRDefault="00193E30">
      <w:pPr>
        <w:spacing w:after="0" w:line="240" w:lineRule="auto"/>
      </w:pPr>
      <w:r>
        <w:separator/>
      </w:r>
    </w:p>
  </w:endnote>
  <w:endnote w:type="continuationSeparator" w:id="0">
    <w:p w:rsidR="00193E30" w:rsidRDefault="00193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A032A" w:rsidRDefault="005A032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5A032A">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5A032A">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5A032A">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5A032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5A032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114AD">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E30" w:rsidRDefault="00193E30">
      <w:pPr>
        <w:spacing w:after="0" w:line="240" w:lineRule="auto"/>
      </w:pPr>
      <w:r>
        <w:separator/>
      </w:r>
    </w:p>
  </w:footnote>
  <w:footnote w:type="continuationSeparator" w:id="0">
    <w:p w:rsidR="00193E30" w:rsidRDefault="00193E30">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A032A" w:rsidRDefault="005A032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A032A" w:rsidRDefault="005A032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A032A" w:rsidRDefault="005A032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3E30"/>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515A"/>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032A"/>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56C0C"/>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114AD"/>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minfin.gov.ru/ru/document/?id_4=13539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ED7D3-B220-41AF-A49B-4FFA886A6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2131</Words>
  <Characters>12153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2026-11-02T08:00:00Z</dcterms:created>
  <dcterms:modified xsi:type="dcterms:W3CDTF">2026-11-02T08:00:00Z</dcterms:modified>
</cp:coreProperties>
</file>