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05-07/1094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F7BF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расходных материалов для отделения переливания крови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(СТ-1, акт ТПП, документ ISO)</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409"/>
        <w:gridCol w:w="1254"/>
        <w:gridCol w:w="963"/>
        <w:gridCol w:w="1876"/>
        <w:gridCol w:w="1158"/>
        <w:gridCol w:w="963"/>
        <w:gridCol w:w="2982"/>
        <w:gridCol w:w="1419"/>
        <w:gridCol w:w="1132"/>
        <w:gridCol w:w="992"/>
        <w:gridCol w:w="852"/>
        <w:gridCol w:w="711"/>
        <w:gridCol w:w="708"/>
        <w:gridCol w:w="530"/>
      </w:tblGrid>
      <w:tr w:rsidR="00B36300" w:rsidRPr="00B674D8" w:rsidTr="00B36300">
        <w:trPr>
          <w:trHeight w:val="702"/>
        </w:trPr>
        <w:tc>
          <w:tcPr>
            <w:tcW w:w="12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 п/п</w:t>
            </w:r>
          </w:p>
        </w:tc>
        <w:tc>
          <w:tcPr>
            <w:tcW w:w="39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Наименование</w:t>
            </w:r>
          </w:p>
        </w:tc>
        <w:tc>
          <w:tcPr>
            <w:tcW w:w="30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674D8" w:rsidRPr="00B674D8" w:rsidRDefault="00B674D8" w:rsidP="00B674D8">
            <w:pPr>
              <w:spacing w:after="0" w:line="240" w:lineRule="auto"/>
              <w:jc w:val="center"/>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Код ОКПД2</w:t>
            </w:r>
          </w:p>
        </w:tc>
        <w:tc>
          <w:tcPr>
            <w:tcW w:w="2633" w:type="pct"/>
            <w:gridSpan w:val="5"/>
            <w:tcBorders>
              <w:top w:val="single" w:sz="8" w:space="0" w:color="auto"/>
              <w:left w:val="nil"/>
              <w:bottom w:val="single" w:sz="8" w:space="0" w:color="auto"/>
              <w:right w:val="single" w:sz="8" w:space="0" w:color="000000"/>
            </w:tcBorders>
            <w:shd w:val="clear" w:color="auto" w:fill="auto"/>
            <w:vAlign w:val="center"/>
            <w:hideMark/>
          </w:tcPr>
          <w:p w:rsidR="00B674D8" w:rsidRPr="00B674D8" w:rsidRDefault="00B674D8" w:rsidP="00B674D8">
            <w:pPr>
              <w:spacing w:after="0" w:line="240" w:lineRule="auto"/>
              <w:jc w:val="center"/>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Характеристика товара</w:t>
            </w:r>
          </w:p>
        </w:tc>
        <w:tc>
          <w:tcPr>
            <w:tcW w:w="355" w:type="pct"/>
            <w:tcBorders>
              <w:top w:val="single" w:sz="8" w:space="0" w:color="auto"/>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jc w:val="center"/>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Ед.изм.</w:t>
            </w:r>
          </w:p>
        </w:tc>
        <w:tc>
          <w:tcPr>
            <w:tcW w:w="311" w:type="pct"/>
            <w:tcBorders>
              <w:top w:val="single" w:sz="8" w:space="0" w:color="auto"/>
              <w:left w:val="nil"/>
              <w:bottom w:val="single" w:sz="8" w:space="0" w:color="auto"/>
              <w:right w:val="nil"/>
            </w:tcBorders>
            <w:shd w:val="clear" w:color="auto" w:fill="auto"/>
            <w:vAlign w:val="center"/>
            <w:hideMark/>
          </w:tcPr>
          <w:p w:rsidR="00B674D8" w:rsidRPr="00B674D8" w:rsidRDefault="00B674D8" w:rsidP="00B674D8">
            <w:pPr>
              <w:spacing w:after="0" w:line="240" w:lineRule="auto"/>
              <w:jc w:val="center"/>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Кол-во</w:t>
            </w:r>
          </w:p>
        </w:tc>
        <w:tc>
          <w:tcPr>
            <w:tcW w:w="267"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674D8" w:rsidRPr="00B674D8" w:rsidRDefault="00B674D8" w:rsidP="00B674D8">
            <w:pPr>
              <w:spacing w:after="0" w:line="240" w:lineRule="auto"/>
              <w:jc w:val="center"/>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Страна происхождения Товара</w:t>
            </w:r>
          </w:p>
        </w:tc>
        <w:tc>
          <w:tcPr>
            <w:tcW w:w="223"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674D8" w:rsidRPr="00B674D8" w:rsidRDefault="00B674D8" w:rsidP="00B674D8">
            <w:pPr>
              <w:spacing w:after="0" w:line="240" w:lineRule="auto"/>
              <w:jc w:val="center"/>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Ставка НДС%</w:t>
            </w:r>
          </w:p>
        </w:tc>
        <w:tc>
          <w:tcPr>
            <w:tcW w:w="222"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674D8" w:rsidRPr="00B674D8" w:rsidRDefault="00B674D8" w:rsidP="00B674D8">
            <w:pPr>
              <w:spacing w:after="0" w:line="240" w:lineRule="auto"/>
              <w:jc w:val="center"/>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Цена за ед. без НДС</w:t>
            </w:r>
          </w:p>
        </w:tc>
        <w:tc>
          <w:tcPr>
            <w:tcW w:w="166"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B674D8" w:rsidRPr="00B674D8" w:rsidRDefault="00B674D8" w:rsidP="00B674D8">
            <w:pPr>
              <w:spacing w:after="0" w:line="240" w:lineRule="auto"/>
              <w:jc w:val="center"/>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Сумма без НДС</w:t>
            </w:r>
          </w:p>
        </w:tc>
      </w:tr>
      <w:tr w:rsidR="00B36300" w:rsidRPr="00B674D8" w:rsidTr="00B36300">
        <w:trPr>
          <w:trHeight w:val="702"/>
        </w:trPr>
        <w:tc>
          <w:tcPr>
            <w:tcW w:w="128" w:type="pct"/>
            <w:vMerge/>
            <w:tcBorders>
              <w:top w:val="single" w:sz="8" w:space="0" w:color="auto"/>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single" w:sz="8" w:space="0" w:color="auto"/>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single" w:sz="8" w:space="0" w:color="auto"/>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951" w:type="pct"/>
            <w:gridSpan w:val="2"/>
            <w:tcBorders>
              <w:top w:val="single" w:sz="8" w:space="0" w:color="auto"/>
              <w:left w:val="nil"/>
              <w:bottom w:val="single" w:sz="8" w:space="0" w:color="auto"/>
              <w:right w:val="single" w:sz="8" w:space="0" w:color="000000"/>
            </w:tcBorders>
            <w:shd w:val="clear" w:color="auto" w:fill="auto"/>
            <w:vAlign w:val="center"/>
            <w:hideMark/>
          </w:tcPr>
          <w:p w:rsidR="00B674D8" w:rsidRPr="00B674D8" w:rsidRDefault="00B674D8" w:rsidP="00B674D8">
            <w:pPr>
              <w:spacing w:after="0" w:line="240" w:lineRule="auto"/>
              <w:jc w:val="center"/>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Наименование показателей</w:t>
            </w:r>
          </w:p>
        </w:tc>
        <w:tc>
          <w:tcPr>
            <w:tcW w:w="302" w:type="pct"/>
            <w:tcBorders>
              <w:top w:val="nil"/>
              <w:left w:val="nil"/>
              <w:bottom w:val="nil"/>
              <w:right w:val="single" w:sz="8" w:space="0" w:color="auto"/>
            </w:tcBorders>
            <w:shd w:val="clear" w:color="auto" w:fill="auto"/>
            <w:vAlign w:val="center"/>
            <w:hideMark/>
          </w:tcPr>
          <w:p w:rsidR="00B674D8" w:rsidRPr="00B674D8" w:rsidRDefault="00B674D8" w:rsidP="00B674D8">
            <w:pPr>
              <w:spacing w:after="0" w:line="240" w:lineRule="auto"/>
              <w:jc w:val="center"/>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Значение показателей</w:t>
            </w:r>
          </w:p>
        </w:tc>
        <w:tc>
          <w:tcPr>
            <w:tcW w:w="935"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jc w:val="center"/>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Инструкция к заполнению</w:t>
            </w:r>
          </w:p>
        </w:tc>
        <w:tc>
          <w:tcPr>
            <w:tcW w:w="445"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jc w:val="center"/>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Обоснование дополнительных характеристик</w:t>
            </w:r>
          </w:p>
        </w:tc>
        <w:tc>
          <w:tcPr>
            <w:tcW w:w="355"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 </w:t>
            </w:r>
          </w:p>
        </w:tc>
        <w:tc>
          <w:tcPr>
            <w:tcW w:w="311"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b/>
                <w:color w:val="000000"/>
                <w:lang w:eastAsia="ru-RU"/>
              </w:rPr>
            </w:pPr>
            <w:r w:rsidRPr="00B674D8">
              <w:rPr>
                <w:rFonts w:ascii="Times New Roman" w:eastAsia="Times New Roman" w:hAnsi="Times New Roman" w:cs="Times New Roman"/>
                <w:b/>
                <w:color w:val="000000"/>
                <w:lang w:eastAsia="ru-RU"/>
              </w:rPr>
              <w:t> </w:t>
            </w:r>
          </w:p>
        </w:tc>
        <w:tc>
          <w:tcPr>
            <w:tcW w:w="267" w:type="pct"/>
            <w:vMerge/>
            <w:tcBorders>
              <w:top w:val="single" w:sz="4" w:space="0" w:color="auto"/>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single" w:sz="4" w:space="0" w:color="auto"/>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single" w:sz="4" w:space="0" w:color="auto"/>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val="restart"/>
            <w:tcBorders>
              <w:top w:val="nil"/>
              <w:left w:val="single" w:sz="8" w:space="0" w:color="auto"/>
              <w:bottom w:val="single" w:sz="8" w:space="0" w:color="000000"/>
              <w:right w:val="single" w:sz="8" w:space="0" w:color="auto"/>
            </w:tcBorders>
            <w:shd w:val="clear" w:color="auto" w:fill="auto"/>
            <w:vAlign w:val="center"/>
            <w:hideMark/>
          </w:tcPr>
          <w:p w:rsidR="00B674D8" w:rsidRPr="00B674D8" w:rsidRDefault="00B674D8" w:rsidP="00B674D8">
            <w:pPr>
              <w:spacing w:after="0" w:line="240" w:lineRule="auto"/>
              <w:jc w:val="right"/>
              <w:rPr>
                <w:rFonts w:ascii="Times New Roman" w:eastAsia="Times New Roman" w:hAnsi="Times New Roman" w:cs="Times New Roman"/>
                <w:color w:val="000000"/>
                <w:lang w:eastAsia="ru-RU"/>
              </w:rPr>
            </w:pPr>
            <w:bookmarkStart w:id="21" w:name="RANGE!A3"/>
            <w:bookmarkStart w:id="22" w:name="_Hlk227590314" w:colFirst="1" w:colLast="9"/>
            <w:r w:rsidRPr="00B674D8">
              <w:rPr>
                <w:rFonts w:ascii="Times New Roman" w:eastAsia="Times New Roman" w:hAnsi="Times New Roman" w:cs="Times New Roman"/>
                <w:noProof/>
                <w:color w:val="000000"/>
                <w:lang w:eastAsia="ru-RU"/>
              </w:rPr>
              <w:t>1</w:t>
            </w:r>
            <w:bookmarkEnd w:id="21"/>
          </w:p>
        </w:tc>
        <w:tc>
          <w:tcPr>
            <w:tcW w:w="393" w:type="pct"/>
            <w:vMerge w:val="restart"/>
            <w:tcBorders>
              <w:top w:val="nil"/>
              <w:left w:val="single" w:sz="8" w:space="0" w:color="auto"/>
              <w:bottom w:val="single" w:sz="8" w:space="0" w:color="000000"/>
              <w:right w:val="single" w:sz="8" w:space="0" w:color="auto"/>
            </w:tcBorders>
            <w:shd w:val="clear" w:color="auto" w:fill="auto"/>
            <w:vAlign w:val="center"/>
            <w:hideMark/>
          </w:tcPr>
          <w:p w:rsidR="00B674D8" w:rsidRPr="00B674D8" w:rsidRDefault="00B674D8" w:rsidP="00B674D8">
            <w:pPr>
              <w:spacing w:after="0" w:line="240" w:lineRule="auto"/>
              <w:jc w:val="center"/>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Набор для донорской крови, четырехкамерный</w:t>
            </w:r>
          </w:p>
        </w:tc>
        <w:tc>
          <w:tcPr>
            <w:tcW w:w="302" w:type="pct"/>
            <w:vMerge w:val="restart"/>
            <w:tcBorders>
              <w:top w:val="nil"/>
              <w:left w:val="single" w:sz="8" w:space="0" w:color="auto"/>
              <w:bottom w:val="single" w:sz="8" w:space="0" w:color="000000"/>
              <w:right w:val="single" w:sz="8" w:space="0" w:color="auto"/>
            </w:tcBorders>
            <w:shd w:val="clear" w:color="auto" w:fill="auto"/>
            <w:vAlign w:val="center"/>
            <w:hideMark/>
          </w:tcPr>
          <w:p w:rsidR="00B674D8" w:rsidRPr="00B674D8" w:rsidRDefault="00B674D8" w:rsidP="00B674D8">
            <w:pPr>
              <w:spacing w:after="0" w:line="240" w:lineRule="auto"/>
              <w:jc w:val="center"/>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32.50.13.190-00584</w:t>
            </w:r>
            <w:r w:rsidR="00B36300">
              <w:rPr>
                <w:rFonts w:ascii="Times New Roman" w:eastAsia="Times New Roman" w:hAnsi="Times New Roman" w:cs="Times New Roman"/>
                <w:color w:val="000000"/>
                <w:lang w:eastAsia="ru-RU"/>
              </w:rPr>
              <w:t>*</w:t>
            </w: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Кислородопроницаемый материал контейнера для хранения тромбоцитов</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Нет</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w:t>
            </w:r>
          </w:p>
        </w:tc>
        <w:tc>
          <w:tcPr>
            <w:tcW w:w="935" w:type="pct"/>
            <w:tcBorders>
              <w:top w:val="nil"/>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Значение характеристики не может изменяться участником закупки</w:t>
            </w:r>
          </w:p>
        </w:tc>
        <w:tc>
          <w:tcPr>
            <w:tcW w:w="445" w:type="pct"/>
            <w:tcBorders>
              <w:top w:val="nil"/>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 </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шт</w:t>
            </w:r>
          </w:p>
        </w:tc>
        <w:tc>
          <w:tcPr>
            <w:tcW w:w="311" w:type="pct"/>
            <w:vMerge w:val="restart"/>
            <w:tcBorders>
              <w:top w:val="nil"/>
              <w:left w:val="single" w:sz="8" w:space="0" w:color="auto"/>
              <w:bottom w:val="single" w:sz="8" w:space="0" w:color="000000"/>
              <w:right w:val="nil"/>
            </w:tcBorders>
            <w:shd w:val="clear" w:color="auto" w:fill="auto"/>
            <w:vAlign w:val="center"/>
            <w:hideMark/>
          </w:tcPr>
          <w:p w:rsidR="00B674D8" w:rsidRPr="00B674D8" w:rsidRDefault="00B674D8" w:rsidP="00B674D8">
            <w:pPr>
              <w:spacing w:after="0" w:line="240" w:lineRule="auto"/>
              <w:jc w:val="right"/>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1500</w:t>
            </w:r>
          </w:p>
        </w:tc>
        <w:tc>
          <w:tcPr>
            <w:tcW w:w="26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B674D8" w:rsidRPr="00B674D8" w:rsidRDefault="00B674D8" w:rsidP="00B674D8">
            <w:pPr>
              <w:spacing w:after="0" w:line="240" w:lineRule="auto"/>
              <w:jc w:val="center"/>
              <w:rPr>
                <w:rFonts w:ascii="Calibri" w:eastAsia="Times New Roman" w:hAnsi="Calibri" w:cs="Times New Roman"/>
                <w:color w:val="000000"/>
                <w:lang w:eastAsia="ru-RU"/>
              </w:rPr>
            </w:pPr>
            <w:r w:rsidRPr="00B674D8">
              <w:rPr>
                <w:rFonts w:ascii="Calibri" w:eastAsia="Times New Roman" w:hAnsi="Calibri" w:cs="Times New Roman"/>
                <w:color w:val="000000"/>
                <w:lang w:eastAsia="ru-RU"/>
              </w:rPr>
              <w:t> </w:t>
            </w:r>
          </w:p>
        </w:tc>
        <w:tc>
          <w:tcPr>
            <w:tcW w:w="22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B674D8" w:rsidRPr="00B674D8" w:rsidRDefault="00B674D8" w:rsidP="00B674D8">
            <w:pPr>
              <w:spacing w:after="0" w:line="240" w:lineRule="auto"/>
              <w:jc w:val="center"/>
              <w:rPr>
                <w:rFonts w:ascii="Calibri" w:eastAsia="Times New Roman" w:hAnsi="Calibri" w:cs="Times New Roman"/>
                <w:color w:val="000000"/>
                <w:lang w:eastAsia="ru-RU"/>
              </w:rPr>
            </w:pPr>
            <w:r w:rsidRPr="00B674D8">
              <w:rPr>
                <w:rFonts w:ascii="Calibri" w:eastAsia="Times New Roman" w:hAnsi="Calibri" w:cs="Times New Roman"/>
                <w:color w:val="000000"/>
                <w:lang w:eastAsia="ru-RU"/>
              </w:rPr>
              <w:t> </w:t>
            </w:r>
          </w:p>
        </w:tc>
        <w:tc>
          <w:tcPr>
            <w:tcW w:w="22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B674D8" w:rsidRPr="00B674D8" w:rsidRDefault="00B674D8" w:rsidP="00B674D8">
            <w:pPr>
              <w:spacing w:after="0" w:line="240" w:lineRule="auto"/>
              <w:jc w:val="center"/>
              <w:rPr>
                <w:rFonts w:ascii="Calibri" w:eastAsia="Times New Roman" w:hAnsi="Calibri" w:cs="Times New Roman"/>
                <w:color w:val="000000"/>
                <w:lang w:eastAsia="ru-RU"/>
              </w:rPr>
            </w:pPr>
            <w:r w:rsidRPr="00B674D8">
              <w:rPr>
                <w:rFonts w:ascii="Calibri" w:eastAsia="Times New Roman" w:hAnsi="Calibri" w:cs="Times New Roman"/>
                <w:color w:val="000000"/>
                <w:lang w:eastAsia="ru-RU"/>
              </w:rPr>
              <w:t> </w:t>
            </w:r>
          </w:p>
        </w:tc>
        <w:tc>
          <w:tcPr>
            <w:tcW w:w="166"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B674D8" w:rsidRPr="00B674D8" w:rsidRDefault="00B674D8" w:rsidP="00B674D8">
            <w:pPr>
              <w:spacing w:after="0" w:line="240" w:lineRule="auto"/>
              <w:jc w:val="center"/>
              <w:rPr>
                <w:rFonts w:ascii="Calibri" w:eastAsia="Times New Roman" w:hAnsi="Calibri" w:cs="Times New Roman"/>
                <w:color w:val="000000"/>
                <w:lang w:eastAsia="ru-RU"/>
              </w:rPr>
            </w:pPr>
            <w:r w:rsidRPr="00B674D8">
              <w:rPr>
                <w:rFonts w:ascii="Calibri" w:eastAsia="Times New Roman" w:hAnsi="Calibri" w:cs="Times New Roman"/>
                <w:color w:val="000000"/>
                <w:lang w:eastAsia="ru-RU"/>
              </w:rPr>
              <w:t> </w:t>
            </w: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Ресуспендирующий раствор</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Есть</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w:t>
            </w:r>
          </w:p>
        </w:tc>
        <w:tc>
          <w:tcPr>
            <w:tcW w:w="93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Значение характеристики не может изменяться участником закупки</w:t>
            </w:r>
          </w:p>
        </w:tc>
        <w:tc>
          <w:tcPr>
            <w:tcW w:w="44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 </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Наличие контейнера для образцов крови с адаптером для взятия образцов крови и протектором иглы</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Есть</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w:t>
            </w:r>
          </w:p>
        </w:tc>
        <w:tc>
          <w:tcPr>
            <w:tcW w:w="93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Значение характеристики не может изменяться участником закупки</w:t>
            </w:r>
          </w:p>
        </w:tc>
        <w:tc>
          <w:tcPr>
            <w:tcW w:w="44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 </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Лейкоцитарный фильтр для тромбоцитов</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Нет</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w:t>
            </w:r>
          </w:p>
        </w:tc>
        <w:tc>
          <w:tcPr>
            <w:tcW w:w="93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Значение характеристики не может изменяться участником закупки</w:t>
            </w:r>
          </w:p>
        </w:tc>
        <w:tc>
          <w:tcPr>
            <w:tcW w:w="44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 </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Магистрали расположены с противоположных сторон относительно друг друга</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Нет</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w:t>
            </w:r>
          </w:p>
        </w:tc>
        <w:tc>
          <w:tcPr>
            <w:tcW w:w="93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Значение характеристики не может изменяться участником закупки</w:t>
            </w:r>
          </w:p>
        </w:tc>
        <w:tc>
          <w:tcPr>
            <w:tcW w:w="44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 </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Лейкоцитарный фильтр для цельной крови</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Есть</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w:t>
            </w:r>
          </w:p>
        </w:tc>
        <w:tc>
          <w:tcPr>
            <w:tcW w:w="93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Значение характеристики не может изменяться участником закупки</w:t>
            </w:r>
          </w:p>
        </w:tc>
        <w:tc>
          <w:tcPr>
            <w:tcW w:w="44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 </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Лейкоцитарный фильтр для эритроцитов</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Нет</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w:t>
            </w:r>
          </w:p>
        </w:tc>
        <w:tc>
          <w:tcPr>
            <w:tcW w:w="93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Значение характеристики не может изменяться участником закупки</w:t>
            </w:r>
          </w:p>
        </w:tc>
        <w:tc>
          <w:tcPr>
            <w:tcW w:w="44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 </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Прорези для фиксации в автоматических фракционаторах</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Есть</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w:t>
            </w:r>
          </w:p>
        </w:tc>
        <w:tc>
          <w:tcPr>
            <w:tcW w:w="93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Значение характеристики не может изменяться участником закупки</w:t>
            </w:r>
          </w:p>
        </w:tc>
        <w:tc>
          <w:tcPr>
            <w:tcW w:w="44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 </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Емкость основного контейнера</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551  и  ≤ 600</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Кубический сантиметр; миллилитр</w:t>
            </w:r>
          </w:p>
        </w:tc>
        <w:tc>
          <w:tcPr>
            <w:tcW w:w="93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Участник закупки указывает в заявке конкретное значение характеристики</w:t>
            </w:r>
          </w:p>
        </w:tc>
        <w:tc>
          <w:tcPr>
            <w:tcW w:w="44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 </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Емкость дополнительного контейнера 3</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100  и  ≤ 600</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Кубический сантиметр; миллилитр</w:t>
            </w:r>
          </w:p>
        </w:tc>
        <w:tc>
          <w:tcPr>
            <w:tcW w:w="93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Участник закупки указывает в заявке конкретное значение характеристики</w:t>
            </w:r>
          </w:p>
        </w:tc>
        <w:tc>
          <w:tcPr>
            <w:tcW w:w="44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 </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Емкость дополнительного контейнера 2</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100  и  ≤ 600</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Кубический сантиметр; миллилитр</w:t>
            </w:r>
          </w:p>
        </w:tc>
        <w:tc>
          <w:tcPr>
            <w:tcW w:w="93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Участник закупки указывает в заявке конкретное значение характеристики</w:t>
            </w:r>
          </w:p>
        </w:tc>
        <w:tc>
          <w:tcPr>
            <w:tcW w:w="44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 </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Емкость дополнительного контейнера 1</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100  и  ≤ 600</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Кубический сантиметр; миллилитр</w:t>
            </w:r>
          </w:p>
        </w:tc>
        <w:tc>
          <w:tcPr>
            <w:tcW w:w="93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Участник закупки указывает в заявке конкретное значение характеристики</w:t>
            </w:r>
          </w:p>
        </w:tc>
        <w:tc>
          <w:tcPr>
            <w:tcW w:w="44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 </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Максимальный срок хранения эритроцитов</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xml:space="preserve">≥  49 </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сут; дн</w:t>
            </w:r>
          </w:p>
        </w:tc>
        <w:tc>
          <w:tcPr>
            <w:tcW w:w="93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Участник закупки указывает в заявке конкретное значение характеристики</w:t>
            </w:r>
          </w:p>
        </w:tc>
        <w:tc>
          <w:tcPr>
            <w:tcW w:w="44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Уменьшение выбраковки в связи с истечением срока хранения эритроцитной взвеси</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Переламывающаяся канюля на линии отбора проб</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Есть</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w:t>
            </w:r>
          </w:p>
        </w:tc>
        <w:tc>
          <w:tcPr>
            <w:tcW w:w="93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Значение характеристики не может изменяться участником закупки</w:t>
            </w:r>
          </w:p>
        </w:tc>
        <w:tc>
          <w:tcPr>
            <w:tcW w:w="44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не позволяет антикоагулянту из первичного контейнера попадать в контейнер для отбора проб</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Переламывающаяся канюля на линии забора крови</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Нет</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w:t>
            </w:r>
          </w:p>
        </w:tc>
        <w:tc>
          <w:tcPr>
            <w:tcW w:w="93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Значение характеристики не может изменяться участником закупки</w:t>
            </w:r>
          </w:p>
        </w:tc>
        <w:tc>
          <w:tcPr>
            <w:tcW w:w="44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предотвращает тромбирование и замедление тока крови при заборе в случае неполного переламывания</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Конфигурация иглы</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Ультратонкая стенка иглы, тройная заточка острия иглы, силиконизированное покрытие, защитный колпачок с первичным контролем вскрытия, диаметр 16G</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w:t>
            </w:r>
          </w:p>
        </w:tc>
        <w:tc>
          <w:tcPr>
            <w:tcW w:w="93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Значение характеристики не может изменяться участником закупки</w:t>
            </w:r>
          </w:p>
        </w:tc>
        <w:tc>
          <w:tcPr>
            <w:tcW w:w="445" w:type="pct"/>
            <w:tcBorders>
              <w:top w:val="single" w:sz="8" w:space="0" w:color="auto"/>
              <w:left w:val="nil"/>
              <w:bottom w:val="nil"/>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Обеспечение безопасности, наименьшей травматичности донации</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tr w:rsidR="00B36300" w:rsidRPr="00B674D8" w:rsidTr="00B36300">
        <w:trPr>
          <w:trHeight w:val="702"/>
        </w:trPr>
        <w:tc>
          <w:tcPr>
            <w:tcW w:w="128"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93"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02"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588" w:type="pct"/>
            <w:tcBorders>
              <w:top w:val="nil"/>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Гемоконсервант в первом мешке для крови CPD</w:t>
            </w:r>
          </w:p>
        </w:tc>
        <w:tc>
          <w:tcPr>
            <w:tcW w:w="363" w:type="pct"/>
            <w:tcBorders>
              <w:top w:val="nil"/>
              <w:left w:val="nil"/>
              <w:bottom w:val="single" w:sz="8" w:space="0" w:color="auto"/>
              <w:right w:val="nil"/>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 xml:space="preserve">≥ 63 </w:t>
            </w:r>
          </w:p>
        </w:tc>
        <w:tc>
          <w:tcPr>
            <w:tcW w:w="302" w:type="pct"/>
            <w:tcBorders>
              <w:top w:val="nil"/>
              <w:left w:val="single" w:sz="4" w:space="0" w:color="auto"/>
              <w:bottom w:val="single" w:sz="4" w:space="0" w:color="auto"/>
              <w:right w:val="single" w:sz="4"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color w:val="000000"/>
                <w:lang w:eastAsia="ru-RU"/>
              </w:rPr>
              <w:t>Кубический сантиметр; миллилитр</w:t>
            </w:r>
          </w:p>
        </w:tc>
        <w:tc>
          <w:tcPr>
            <w:tcW w:w="935" w:type="pct"/>
            <w:tcBorders>
              <w:top w:val="single" w:sz="8" w:space="0" w:color="auto"/>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Участник закупки указывает в заявке конкретное значение характеристики</w:t>
            </w:r>
          </w:p>
        </w:tc>
        <w:tc>
          <w:tcPr>
            <w:tcW w:w="445" w:type="pct"/>
            <w:tcBorders>
              <w:top w:val="single" w:sz="8" w:space="0" w:color="auto"/>
              <w:left w:val="nil"/>
              <w:bottom w:val="single" w:sz="8" w:space="0" w:color="auto"/>
              <w:right w:val="single" w:sz="8" w:space="0" w:color="auto"/>
            </w:tcBorders>
            <w:shd w:val="clear" w:color="auto" w:fill="auto"/>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r w:rsidRPr="00B674D8">
              <w:rPr>
                <w:rFonts w:ascii="Times New Roman" w:eastAsia="Times New Roman" w:hAnsi="Times New Roman" w:cs="Times New Roman"/>
                <w:noProof/>
                <w:color w:val="000000"/>
                <w:lang w:eastAsia="ru-RU"/>
              </w:rPr>
              <w:t>Обеспечение соотношения антикоагулянта к собираемому объёму крови</w:t>
            </w:r>
          </w:p>
        </w:tc>
        <w:tc>
          <w:tcPr>
            <w:tcW w:w="355" w:type="pct"/>
            <w:vMerge/>
            <w:tcBorders>
              <w:top w:val="nil"/>
              <w:left w:val="single" w:sz="8" w:space="0" w:color="auto"/>
              <w:bottom w:val="single" w:sz="8" w:space="0" w:color="000000"/>
              <w:right w:val="single" w:sz="8" w:space="0" w:color="auto"/>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311" w:type="pct"/>
            <w:vMerge/>
            <w:tcBorders>
              <w:top w:val="nil"/>
              <w:left w:val="single" w:sz="8" w:space="0" w:color="auto"/>
              <w:bottom w:val="single" w:sz="8" w:space="0" w:color="000000"/>
              <w:right w:val="nil"/>
            </w:tcBorders>
            <w:vAlign w:val="center"/>
            <w:hideMark/>
          </w:tcPr>
          <w:p w:rsidR="00B674D8" w:rsidRPr="00B674D8" w:rsidRDefault="00B674D8" w:rsidP="00B674D8">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3"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222"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c>
          <w:tcPr>
            <w:tcW w:w="166" w:type="pct"/>
            <w:vMerge/>
            <w:tcBorders>
              <w:top w:val="nil"/>
              <w:left w:val="single" w:sz="4" w:space="0" w:color="auto"/>
              <w:bottom w:val="single" w:sz="4" w:space="0" w:color="000000"/>
              <w:right w:val="single" w:sz="4" w:space="0" w:color="auto"/>
            </w:tcBorders>
            <w:vAlign w:val="center"/>
            <w:hideMark/>
          </w:tcPr>
          <w:p w:rsidR="00B674D8" w:rsidRPr="00B674D8" w:rsidRDefault="00B674D8" w:rsidP="00B674D8">
            <w:pPr>
              <w:spacing w:after="0" w:line="240" w:lineRule="auto"/>
              <w:rPr>
                <w:rFonts w:ascii="Calibri" w:eastAsia="Times New Roman" w:hAnsi="Calibri" w:cs="Times New Roman"/>
                <w:color w:val="000000"/>
                <w:lang w:eastAsia="ru-RU"/>
              </w:rPr>
            </w:pPr>
          </w:p>
        </w:tc>
      </w:tr>
      <w:bookmarkEnd w:id="22"/>
    </w:tbl>
    <w:p w:rsidR="00B674D8" w:rsidRDefault="00B674D8" w:rsidP="000820E3">
      <w:pPr>
        <w:rPr>
          <w:rFonts w:ascii="Times New Roman CYR" w:hAnsi="Times New Roman CYR" w:cs="Times New Roman CYR"/>
          <w:b/>
          <w:bCs/>
        </w:rPr>
      </w:pPr>
    </w:p>
    <w:p w:rsidR="00B674D8" w:rsidRDefault="00B674D8" w:rsidP="000820E3">
      <w:pPr>
        <w:rPr>
          <w:rFonts w:ascii="Times New Roman CYR" w:hAnsi="Times New Roman CYR" w:cs="Times New Roman CYR"/>
          <w:b/>
          <w:bCs/>
        </w:rPr>
      </w:pPr>
    </w:p>
    <w:p w:rsidR="00170252" w:rsidRDefault="00B674D8" w:rsidP="000820E3">
      <w:pPr>
        <w:rPr>
          <w:rFonts w:ascii="Times New Roman" w:hAnsi="Times New Roman" w:cs="Times New Roman"/>
          <w:b/>
          <w:sz w:val="28"/>
          <w:szCs w:val="28"/>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sectPr w:rsidR="00170252" w:rsidSect="00B674D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1B2" w:rsidRDefault="000901B2">
      <w:pPr>
        <w:spacing w:after="0" w:line="240" w:lineRule="auto"/>
      </w:pPr>
      <w:r>
        <w:separator/>
      </w:r>
    </w:p>
  </w:endnote>
  <w:endnote w:type="continuationSeparator" w:id="0">
    <w:p w:rsidR="000901B2" w:rsidRDefault="00090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7BF2" w:rsidRDefault="00BF7BF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F7BF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F7BF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F7BF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F7BF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F7BF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3630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1B2" w:rsidRDefault="000901B2">
      <w:pPr>
        <w:spacing w:after="0" w:line="240" w:lineRule="auto"/>
      </w:pPr>
      <w:r>
        <w:separator/>
      </w:r>
    </w:p>
  </w:footnote>
  <w:footnote w:type="continuationSeparator" w:id="0">
    <w:p w:rsidR="000901B2" w:rsidRDefault="000901B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7BF2" w:rsidRDefault="00BF7BF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7BF2" w:rsidRDefault="00BF7BF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7BF2" w:rsidRDefault="00BF7BF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01B2"/>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36300"/>
    <w:rsid w:val="00B61169"/>
    <w:rsid w:val="00B664DC"/>
    <w:rsid w:val="00B666D7"/>
    <w:rsid w:val="00B66D35"/>
    <w:rsid w:val="00B674D8"/>
    <w:rsid w:val="00B67E6D"/>
    <w:rsid w:val="00B77DAE"/>
    <w:rsid w:val="00B8743B"/>
    <w:rsid w:val="00B96A23"/>
    <w:rsid w:val="00BA5FF8"/>
    <w:rsid w:val="00BB195D"/>
    <w:rsid w:val="00BC0D28"/>
    <w:rsid w:val="00BE3F70"/>
    <w:rsid w:val="00BE4CB3"/>
    <w:rsid w:val="00BF2771"/>
    <w:rsid w:val="00BF7BF2"/>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0830">
      <w:bodyDiv w:val="1"/>
      <w:marLeft w:val="0"/>
      <w:marRight w:val="0"/>
      <w:marTop w:val="0"/>
      <w:marBottom w:val="0"/>
      <w:divBdr>
        <w:top w:val="none" w:sz="0" w:space="0" w:color="auto"/>
        <w:left w:val="none" w:sz="0" w:space="0" w:color="auto"/>
        <w:bottom w:val="none" w:sz="0" w:space="0" w:color="auto"/>
        <w:right w:val="none" w:sz="0" w:space="0" w:color="auto"/>
      </w:divBdr>
    </w:div>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368723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50DAF-4FAE-48BC-A3BD-C4B5DA27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7931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2026-05-19T06:41:00Z</dcterms:created>
  <dcterms:modified xsi:type="dcterms:W3CDTF">2026-05-19T06:41:00Z</dcterms:modified>
</cp:coreProperties>
</file>