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24.06.2026 № 05-07/1354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72F4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4 (четыре).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r w:rsidR="009E1379">
              <w:rPr>
                <w:rFonts w:ascii="Times New Roman" w:hAnsi="Times New Roman" w:cs="Times New Roman"/>
                <w:noProof/>
                <w:sz w:val="24"/>
                <w:szCs w:val="24"/>
              </w:rPr>
              <w:t>, преимущество инвалидам</w:t>
            </w:r>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06"/>
        <w:gridCol w:w="2719"/>
        <w:gridCol w:w="1005"/>
        <w:gridCol w:w="1310"/>
        <w:gridCol w:w="1172"/>
        <w:gridCol w:w="1167"/>
        <w:gridCol w:w="1167"/>
        <w:gridCol w:w="2719"/>
        <w:gridCol w:w="498"/>
        <w:gridCol w:w="849"/>
        <w:gridCol w:w="1161"/>
        <w:gridCol w:w="633"/>
        <w:gridCol w:w="520"/>
        <w:gridCol w:w="623"/>
      </w:tblGrid>
      <w:tr w:rsidR="002A45FC" w:rsidRPr="002A45FC" w:rsidTr="002A45FC">
        <w:trPr>
          <w:trHeight w:val="402"/>
        </w:trPr>
        <w:tc>
          <w:tcPr>
            <w:tcW w:w="127"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 п/п</w:t>
            </w:r>
          </w:p>
        </w:tc>
        <w:tc>
          <w:tcPr>
            <w:tcW w:w="852" w:type="pct"/>
            <w:tcBorders>
              <w:top w:val="single" w:sz="8" w:space="0" w:color="auto"/>
              <w:left w:val="nil"/>
              <w:bottom w:val="single" w:sz="8"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Наименование товара, работы, услуги</w:t>
            </w:r>
          </w:p>
        </w:tc>
        <w:tc>
          <w:tcPr>
            <w:tcW w:w="315" w:type="pct"/>
            <w:tcBorders>
              <w:top w:val="single" w:sz="8" w:space="0" w:color="auto"/>
              <w:left w:val="nil"/>
              <w:bottom w:val="single" w:sz="8"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КТРУ</w:t>
            </w:r>
          </w:p>
        </w:tc>
        <w:tc>
          <w:tcPr>
            <w:tcW w:w="411" w:type="pct"/>
            <w:tcBorders>
              <w:top w:val="single" w:sz="8" w:space="0" w:color="auto"/>
              <w:left w:val="nil"/>
              <w:bottom w:val="single" w:sz="8"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Наименование характеристики</w:t>
            </w:r>
          </w:p>
        </w:tc>
        <w:tc>
          <w:tcPr>
            <w:tcW w:w="367" w:type="pct"/>
            <w:tcBorders>
              <w:top w:val="single" w:sz="8" w:space="0" w:color="auto"/>
              <w:left w:val="nil"/>
              <w:bottom w:val="single" w:sz="8"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Значение характеристики</w:t>
            </w:r>
          </w:p>
        </w:tc>
        <w:tc>
          <w:tcPr>
            <w:tcW w:w="366" w:type="pct"/>
            <w:tcBorders>
              <w:top w:val="single" w:sz="8" w:space="0" w:color="auto"/>
              <w:left w:val="nil"/>
              <w:bottom w:val="single" w:sz="8"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Единица измерения характеристики</w:t>
            </w:r>
          </w:p>
        </w:tc>
        <w:tc>
          <w:tcPr>
            <w:tcW w:w="366" w:type="pct"/>
            <w:tcBorders>
              <w:top w:val="single" w:sz="8" w:space="0" w:color="auto"/>
              <w:left w:val="nil"/>
              <w:bottom w:val="single" w:sz="8"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Инструкция по заполнению характеристики в заявке</w:t>
            </w:r>
          </w:p>
        </w:tc>
        <w:tc>
          <w:tcPr>
            <w:tcW w:w="852" w:type="pct"/>
            <w:tcBorders>
              <w:top w:val="single" w:sz="8" w:space="0" w:color="auto"/>
              <w:left w:val="nil"/>
              <w:bottom w:val="single" w:sz="8"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Обоснование необходимости включения дополнительной информации, не содержащейся в КТРУ</w:t>
            </w:r>
          </w:p>
        </w:tc>
        <w:tc>
          <w:tcPr>
            <w:tcW w:w="156" w:type="pct"/>
            <w:tcBorders>
              <w:top w:val="single" w:sz="8" w:space="0" w:color="auto"/>
              <w:left w:val="nil"/>
              <w:bottom w:val="single" w:sz="8"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Кол-во</w:t>
            </w:r>
          </w:p>
        </w:tc>
        <w:tc>
          <w:tcPr>
            <w:tcW w:w="266" w:type="pct"/>
            <w:tcBorders>
              <w:top w:val="single" w:sz="8" w:space="0" w:color="auto"/>
              <w:left w:val="nil"/>
              <w:bottom w:val="single" w:sz="8" w:space="0" w:color="auto"/>
              <w:right w:val="nil"/>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Единица измерения</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Страна происхождения Товара</w:t>
            </w:r>
          </w:p>
        </w:tc>
        <w:tc>
          <w:tcPr>
            <w:tcW w:w="198" w:type="pct"/>
            <w:tcBorders>
              <w:top w:val="single" w:sz="4" w:space="0" w:color="auto"/>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Ставка НДС%</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Цена за ед. без НДС</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Сумма без НДС</w:t>
            </w:r>
          </w:p>
        </w:tc>
      </w:tr>
      <w:tr w:rsidR="002A45FC" w:rsidRPr="002A45FC" w:rsidTr="002A45FC">
        <w:trPr>
          <w:trHeight w:val="402"/>
        </w:trPr>
        <w:tc>
          <w:tcPr>
            <w:tcW w:w="1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1</w:t>
            </w:r>
          </w:p>
        </w:tc>
        <w:tc>
          <w:tcPr>
            <w:tcW w:w="852" w:type="pct"/>
            <w:vMerge w:val="restart"/>
            <w:tcBorders>
              <w:top w:val="nil"/>
              <w:left w:val="single" w:sz="4" w:space="0" w:color="auto"/>
              <w:bottom w:val="single" w:sz="4" w:space="0" w:color="000000"/>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Клапан вентрикулоперитонеального/атриального шунта</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32.50.50.190-00001375</w:t>
            </w:r>
            <w:r>
              <w:rPr>
                <w:rFonts w:ascii="Times New Roman" w:eastAsia="Times New Roman" w:hAnsi="Times New Roman" w:cs="Times New Roman"/>
                <w:bCs/>
                <w:color w:val="000000"/>
                <w:sz w:val="20"/>
                <w:szCs w:val="20"/>
                <w:lang w:eastAsia="ru-RU"/>
              </w:rPr>
              <w:t>**</w:t>
            </w: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Назначение</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Клапан постоянного давления с плоским дном для хирургического лечения гидроцефалии</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обусловлено особенностями методик и правил проведения медицинских манипуляций</w:t>
            </w:r>
          </w:p>
        </w:tc>
        <w:tc>
          <w:tcPr>
            <w:tcW w:w="156" w:type="pct"/>
            <w:vMerge w:val="restart"/>
            <w:tcBorders>
              <w:top w:val="nil"/>
              <w:left w:val="single" w:sz="4" w:space="0" w:color="auto"/>
              <w:bottom w:val="single" w:sz="4" w:space="0" w:color="000000"/>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2</w:t>
            </w:r>
          </w:p>
        </w:tc>
        <w:tc>
          <w:tcPr>
            <w:tcW w:w="266" w:type="pct"/>
            <w:vMerge w:val="restart"/>
            <w:tcBorders>
              <w:top w:val="nil"/>
              <w:left w:val="single" w:sz="4" w:space="0" w:color="auto"/>
              <w:bottom w:val="single" w:sz="4" w:space="0" w:color="000000"/>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шт</w:t>
            </w:r>
          </w:p>
        </w:tc>
        <w:tc>
          <w:tcPr>
            <w:tcW w:w="36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A45FC" w:rsidRPr="002A45FC" w:rsidRDefault="002A45FC" w:rsidP="002A45FC">
            <w:pPr>
              <w:spacing w:after="0" w:line="240" w:lineRule="auto"/>
              <w:jc w:val="center"/>
              <w:rPr>
                <w:rFonts w:ascii="Times New Roman" w:eastAsia="Times New Roman" w:hAnsi="Times New Roman" w:cs="Times New Roman"/>
                <w:sz w:val="16"/>
                <w:szCs w:val="16"/>
                <w:lang w:eastAsia="ru-RU"/>
              </w:rPr>
            </w:pPr>
            <w:r w:rsidRPr="002A45FC">
              <w:rPr>
                <w:rFonts w:ascii="Times New Roman" w:eastAsia="Times New Roman" w:hAnsi="Times New Roman" w:cs="Times New Roman"/>
                <w:sz w:val="16"/>
                <w:szCs w:val="16"/>
                <w:lang w:eastAsia="ru-RU"/>
              </w:rPr>
              <w:t> </w:t>
            </w:r>
          </w:p>
        </w:tc>
        <w:tc>
          <w:tcPr>
            <w:tcW w:w="19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A45FC" w:rsidRPr="002A45FC" w:rsidRDefault="002A45FC" w:rsidP="002A45FC">
            <w:pPr>
              <w:spacing w:after="0" w:line="240" w:lineRule="auto"/>
              <w:jc w:val="center"/>
              <w:rPr>
                <w:rFonts w:ascii="Times New Roman" w:eastAsia="Times New Roman" w:hAnsi="Times New Roman" w:cs="Times New Roman"/>
                <w:sz w:val="16"/>
                <w:szCs w:val="16"/>
                <w:lang w:eastAsia="ru-RU"/>
              </w:rPr>
            </w:pPr>
            <w:r w:rsidRPr="002A45FC">
              <w:rPr>
                <w:rFonts w:ascii="Times New Roman" w:eastAsia="Times New Roman" w:hAnsi="Times New Roman" w:cs="Times New Roman"/>
                <w:sz w:val="16"/>
                <w:szCs w:val="16"/>
                <w:lang w:eastAsia="ru-RU"/>
              </w:rPr>
              <w:t> </w:t>
            </w:r>
          </w:p>
        </w:tc>
        <w:tc>
          <w:tcPr>
            <w:tcW w:w="16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A45FC" w:rsidRPr="002A45FC" w:rsidRDefault="002A45FC" w:rsidP="002A45FC">
            <w:pPr>
              <w:spacing w:after="0" w:line="240" w:lineRule="auto"/>
              <w:jc w:val="center"/>
              <w:rPr>
                <w:rFonts w:ascii="Times New Roman" w:eastAsia="Times New Roman" w:hAnsi="Times New Roman" w:cs="Times New Roman"/>
                <w:sz w:val="16"/>
                <w:szCs w:val="16"/>
                <w:lang w:eastAsia="ru-RU"/>
              </w:rPr>
            </w:pPr>
            <w:r w:rsidRPr="002A45FC">
              <w:rPr>
                <w:rFonts w:ascii="Times New Roman" w:eastAsia="Times New Roman" w:hAnsi="Times New Roman" w:cs="Times New Roman"/>
                <w:sz w:val="16"/>
                <w:szCs w:val="16"/>
                <w:lang w:eastAsia="ru-RU"/>
              </w:rPr>
              <w:t> </w:t>
            </w:r>
          </w:p>
        </w:tc>
        <w:tc>
          <w:tcPr>
            <w:tcW w:w="19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A45FC" w:rsidRPr="002A45FC" w:rsidRDefault="002A45FC" w:rsidP="002A45FC">
            <w:pPr>
              <w:spacing w:after="0" w:line="240" w:lineRule="auto"/>
              <w:jc w:val="center"/>
              <w:rPr>
                <w:rFonts w:ascii="Times New Roman" w:eastAsia="Times New Roman" w:hAnsi="Times New Roman" w:cs="Times New Roman"/>
                <w:sz w:val="16"/>
                <w:szCs w:val="16"/>
                <w:lang w:eastAsia="ru-RU"/>
              </w:rPr>
            </w:pPr>
            <w:r w:rsidRPr="002A45FC">
              <w:rPr>
                <w:rFonts w:ascii="Times New Roman" w:eastAsia="Times New Roman" w:hAnsi="Times New Roman" w:cs="Times New Roman"/>
                <w:sz w:val="16"/>
                <w:szCs w:val="16"/>
                <w:lang w:eastAsia="ru-RU"/>
              </w:rPr>
              <w:t> </w:t>
            </w: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Адаптер для предварительного заполнения</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Наличие</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обусловлено особенностями методик и правил проведения медицинских манипуляций</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средне-низкий диапазон давления</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Соответствие</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обусловлено особенностями методик и правил проведения медицинских манипуляций</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Высота профиля клапана</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7,4  и  ≤ 7,8</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миллиметр</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Участник закупки указывает конкретное значение характеристики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обусловлено особенностями методик и правил проведения медицинских манипуляций</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длина клапана без коннекторов</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36  и  ≤ 38</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миллиметр</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Участник закупки указывает конкретное значение характеристики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обусловлено особенностями методик и правил проведения медицинских манипуляций</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ширина клапана</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11 и  ≤ 13</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миллиметр</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Участник закупки указывает конкретное значение характеристики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обусловлено особенностями методик и правил проведения медицинских манипуляций</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Нижняя граница диапазона давления</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60</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мм Н2O</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Участник закупки указывает конкретное значение характеристики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xml:space="preserve">Уточняющие дополнительные сведения о конструктивных особенностях материала и его свойствах необходимы для определения возможности и методики постановок. Параметры материала в каждом конкретном случае подбираются для пациента индивидуально. </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Верхняя граница диапазона давления</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80</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мм Н2O</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Участник закупки указывает конкретное значение характеристики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xml:space="preserve">Уточняющие дополнительные сведения о конструктивных особенностях материала и его свойствах необходимы для определения возможности и методики постановок. Параметры материала в каждом конкретном случае подбираются для пациента индивидуально. </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xml:space="preserve">Совместимость с вентрикулярными и перитонеальными катетерами используемыми при лечении гидроцефалии </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Соответствие</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Клапан вентрикулоперитонеального/атриального шунта и катетеры (вентрикулярный и перенитонеальный) образуют единую систему для имплантации в тело пациента при лечении гидроцефалии</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2</w:t>
            </w:r>
          </w:p>
        </w:tc>
        <w:tc>
          <w:tcPr>
            <w:tcW w:w="852" w:type="pct"/>
            <w:vMerge w:val="restart"/>
            <w:tcBorders>
              <w:top w:val="nil"/>
              <w:left w:val="single" w:sz="4" w:space="0" w:color="auto"/>
              <w:bottom w:val="single" w:sz="4" w:space="0" w:color="000000"/>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Клапан вентрикулоперитонеального/атриального шунта</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bCs/>
                <w:color w:val="000000"/>
                <w:sz w:val="20"/>
                <w:szCs w:val="20"/>
                <w:lang w:eastAsia="ru-RU"/>
              </w:rPr>
            </w:pPr>
            <w:r w:rsidRPr="002A45FC">
              <w:rPr>
                <w:rFonts w:ascii="Times New Roman" w:eastAsia="Times New Roman" w:hAnsi="Times New Roman" w:cs="Times New Roman"/>
                <w:bCs/>
                <w:color w:val="000000"/>
                <w:sz w:val="20"/>
                <w:szCs w:val="20"/>
                <w:lang w:eastAsia="ru-RU"/>
              </w:rPr>
              <w:t>32.50.50.190-00001375</w:t>
            </w:r>
            <w:r>
              <w:rPr>
                <w:rFonts w:ascii="Times New Roman" w:eastAsia="Times New Roman" w:hAnsi="Times New Roman" w:cs="Times New Roman"/>
                <w:bCs/>
                <w:color w:val="000000"/>
                <w:sz w:val="20"/>
                <w:szCs w:val="20"/>
                <w:lang w:eastAsia="ru-RU"/>
              </w:rPr>
              <w:t>**</w:t>
            </w: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Назначение</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Клапан постоянного давления с плоским дном для хирургического лечения гидроцефалии</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обусловлено особенностями методик и правил проведения медицинских манипуляций</w:t>
            </w:r>
          </w:p>
        </w:tc>
        <w:tc>
          <w:tcPr>
            <w:tcW w:w="156" w:type="pct"/>
            <w:vMerge w:val="restart"/>
            <w:tcBorders>
              <w:top w:val="nil"/>
              <w:left w:val="single" w:sz="4" w:space="0" w:color="auto"/>
              <w:bottom w:val="single" w:sz="4" w:space="0" w:color="000000"/>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2</w:t>
            </w:r>
          </w:p>
        </w:tc>
        <w:tc>
          <w:tcPr>
            <w:tcW w:w="266" w:type="pct"/>
            <w:vMerge w:val="restart"/>
            <w:tcBorders>
              <w:top w:val="nil"/>
              <w:left w:val="single" w:sz="4" w:space="0" w:color="auto"/>
              <w:bottom w:val="single" w:sz="4" w:space="0" w:color="000000"/>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шт</w:t>
            </w:r>
          </w:p>
        </w:tc>
        <w:tc>
          <w:tcPr>
            <w:tcW w:w="36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A45FC" w:rsidRPr="002A45FC" w:rsidRDefault="002A45FC" w:rsidP="002A45FC">
            <w:pPr>
              <w:spacing w:after="0" w:line="240" w:lineRule="auto"/>
              <w:jc w:val="center"/>
              <w:rPr>
                <w:rFonts w:ascii="Times New Roman" w:eastAsia="Times New Roman" w:hAnsi="Times New Roman" w:cs="Times New Roman"/>
                <w:sz w:val="16"/>
                <w:szCs w:val="16"/>
                <w:lang w:eastAsia="ru-RU"/>
              </w:rPr>
            </w:pPr>
            <w:r w:rsidRPr="002A45FC">
              <w:rPr>
                <w:rFonts w:ascii="Times New Roman" w:eastAsia="Times New Roman" w:hAnsi="Times New Roman" w:cs="Times New Roman"/>
                <w:sz w:val="16"/>
                <w:szCs w:val="16"/>
                <w:lang w:eastAsia="ru-RU"/>
              </w:rPr>
              <w:t> </w:t>
            </w:r>
          </w:p>
        </w:tc>
        <w:tc>
          <w:tcPr>
            <w:tcW w:w="19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A45FC" w:rsidRPr="002A45FC" w:rsidRDefault="002A45FC" w:rsidP="002A45FC">
            <w:pPr>
              <w:spacing w:after="0" w:line="240" w:lineRule="auto"/>
              <w:jc w:val="center"/>
              <w:rPr>
                <w:rFonts w:ascii="Times New Roman" w:eastAsia="Times New Roman" w:hAnsi="Times New Roman" w:cs="Times New Roman"/>
                <w:sz w:val="16"/>
                <w:szCs w:val="16"/>
                <w:lang w:eastAsia="ru-RU"/>
              </w:rPr>
            </w:pPr>
            <w:r w:rsidRPr="002A45FC">
              <w:rPr>
                <w:rFonts w:ascii="Times New Roman" w:eastAsia="Times New Roman" w:hAnsi="Times New Roman" w:cs="Times New Roman"/>
                <w:sz w:val="16"/>
                <w:szCs w:val="16"/>
                <w:lang w:eastAsia="ru-RU"/>
              </w:rPr>
              <w:t> </w:t>
            </w:r>
          </w:p>
        </w:tc>
        <w:tc>
          <w:tcPr>
            <w:tcW w:w="16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A45FC" w:rsidRPr="002A45FC" w:rsidRDefault="002A45FC" w:rsidP="002A45FC">
            <w:pPr>
              <w:spacing w:after="0" w:line="240" w:lineRule="auto"/>
              <w:jc w:val="center"/>
              <w:rPr>
                <w:rFonts w:ascii="Times New Roman" w:eastAsia="Times New Roman" w:hAnsi="Times New Roman" w:cs="Times New Roman"/>
                <w:sz w:val="16"/>
                <w:szCs w:val="16"/>
                <w:lang w:eastAsia="ru-RU"/>
              </w:rPr>
            </w:pPr>
            <w:r w:rsidRPr="002A45FC">
              <w:rPr>
                <w:rFonts w:ascii="Times New Roman" w:eastAsia="Times New Roman" w:hAnsi="Times New Roman" w:cs="Times New Roman"/>
                <w:sz w:val="16"/>
                <w:szCs w:val="16"/>
                <w:lang w:eastAsia="ru-RU"/>
              </w:rPr>
              <w:t> </w:t>
            </w:r>
          </w:p>
        </w:tc>
        <w:tc>
          <w:tcPr>
            <w:tcW w:w="19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A45FC" w:rsidRPr="002A45FC" w:rsidRDefault="002A45FC" w:rsidP="002A45FC">
            <w:pPr>
              <w:spacing w:after="0" w:line="240" w:lineRule="auto"/>
              <w:jc w:val="center"/>
              <w:rPr>
                <w:rFonts w:ascii="Times New Roman" w:eastAsia="Times New Roman" w:hAnsi="Times New Roman" w:cs="Times New Roman"/>
                <w:sz w:val="16"/>
                <w:szCs w:val="16"/>
                <w:lang w:eastAsia="ru-RU"/>
              </w:rPr>
            </w:pPr>
            <w:r w:rsidRPr="002A45FC">
              <w:rPr>
                <w:rFonts w:ascii="Times New Roman" w:eastAsia="Times New Roman" w:hAnsi="Times New Roman" w:cs="Times New Roman"/>
                <w:sz w:val="16"/>
                <w:szCs w:val="16"/>
                <w:lang w:eastAsia="ru-RU"/>
              </w:rPr>
              <w:t> </w:t>
            </w: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Адаптер для предварительного заполнения</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Наличие</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обусловлено особенностями методик и правил проведения медицинских манипуляций</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средне-высокий диапазон давления</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Соответствие</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обусловлено особенностями методик и правил проведения медицинских манипуляций</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Высота профиля клапана</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7,4  и  ≤ 7,8</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миллиметр</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Участник закупки указывает конкретное значение характеристики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обусловлено особенностями методик и правил проведения медицинских манипуляций</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длина клапана без коннекторов</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36  и  ≤ 38</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миллиметр</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Участник закупки указывает конкретное значение характеристики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обусловлено особенностями методик и правил проведения медицинских манипуляций</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ширина клапана</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11 и  ≤ 13</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миллиметр</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Участник закупки указывает конкретное значение характеристики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обусловлено особенностями методик и правил проведения медицинских манипуляций</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Нижняя граница диапазона давления</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90</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мм Н2O</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Участник закупки указывает конкретное значение характеристики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xml:space="preserve">Уточняющие дополнительные сведения о конструктивных особенностях материала и его свойствах необходимы для определения возможности и методики постановок. Параметры материала в каждом конкретном случае подбираются для пациента индивидуально. </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Верхняя граница диапазона давления</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110</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мм Н2O</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Участник закупки указывает конкретное значение характеристики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xml:space="preserve">Уточняющие дополнительные сведения о конструктивных особенностях материала и его свойствах необходимы для определения возможности и методики постановок. Параметры материала в каждом конкретном случае подбираются для пациента индивидуально. </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r w:rsidR="002A45FC" w:rsidRPr="002A45FC" w:rsidTr="002A45FC">
        <w:trPr>
          <w:trHeight w:val="402"/>
        </w:trPr>
        <w:tc>
          <w:tcPr>
            <w:tcW w:w="127" w:type="pct"/>
            <w:tcBorders>
              <w:top w:val="nil"/>
              <w:left w:val="single" w:sz="4" w:space="0" w:color="auto"/>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852"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31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bCs/>
                <w:color w:val="000000"/>
                <w:sz w:val="20"/>
                <w:szCs w:val="20"/>
                <w:lang w:eastAsia="ru-RU"/>
              </w:rPr>
            </w:pPr>
          </w:p>
        </w:tc>
        <w:tc>
          <w:tcPr>
            <w:tcW w:w="411"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xml:space="preserve">Совместимость с вентрикулярными и перитонеальными катетерами используемыми при лечении гидроцефалии </w:t>
            </w:r>
          </w:p>
        </w:tc>
        <w:tc>
          <w:tcPr>
            <w:tcW w:w="367"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Соответствие</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jc w:val="center"/>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 </w:t>
            </w:r>
          </w:p>
        </w:tc>
        <w:tc>
          <w:tcPr>
            <w:tcW w:w="366"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852" w:type="pct"/>
            <w:tcBorders>
              <w:top w:val="nil"/>
              <w:left w:val="nil"/>
              <w:bottom w:val="single" w:sz="4" w:space="0" w:color="auto"/>
              <w:right w:val="single" w:sz="4" w:space="0" w:color="auto"/>
            </w:tcBorders>
            <w:shd w:val="clear" w:color="auto" w:fill="auto"/>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r w:rsidRPr="002A45FC">
              <w:rPr>
                <w:rFonts w:ascii="Times New Roman" w:eastAsia="Times New Roman" w:hAnsi="Times New Roman" w:cs="Times New Roman"/>
                <w:color w:val="000000"/>
                <w:sz w:val="20"/>
                <w:szCs w:val="20"/>
                <w:lang w:eastAsia="ru-RU"/>
              </w:rPr>
              <w:t>Клапан вентрикулоперитонеального/атриального шунта и катетеры (вентрикулярный и перенитонеальный) образуют единую систему для имплантации в тело пациента при лечении гидроцефалии</w:t>
            </w:r>
          </w:p>
        </w:tc>
        <w:tc>
          <w:tcPr>
            <w:tcW w:w="15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color w:val="000000"/>
                <w:sz w:val="20"/>
                <w:szCs w:val="20"/>
                <w:lang w:eastAsia="ru-RU"/>
              </w:rPr>
            </w:pPr>
          </w:p>
        </w:tc>
        <w:tc>
          <w:tcPr>
            <w:tcW w:w="364"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8"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63"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c>
          <w:tcPr>
            <w:tcW w:w="195" w:type="pct"/>
            <w:vMerge/>
            <w:tcBorders>
              <w:top w:val="nil"/>
              <w:left w:val="single" w:sz="4" w:space="0" w:color="auto"/>
              <w:bottom w:val="single" w:sz="4" w:space="0" w:color="000000"/>
              <w:right w:val="single" w:sz="4" w:space="0" w:color="auto"/>
            </w:tcBorders>
            <w:vAlign w:val="center"/>
            <w:hideMark/>
          </w:tcPr>
          <w:p w:rsidR="002A45FC" w:rsidRPr="002A45FC" w:rsidRDefault="002A45FC" w:rsidP="002A45FC">
            <w:pPr>
              <w:spacing w:after="0" w:line="240" w:lineRule="auto"/>
              <w:rPr>
                <w:rFonts w:ascii="Times New Roman" w:eastAsia="Times New Roman" w:hAnsi="Times New Roman" w:cs="Times New Roman"/>
                <w:sz w:val="16"/>
                <w:szCs w:val="16"/>
                <w:lang w:eastAsia="ru-RU"/>
              </w:rPr>
            </w:pPr>
          </w:p>
        </w:tc>
      </w:tr>
    </w:tbl>
    <w:p w:rsidR="002A45FC" w:rsidRDefault="002A45FC" w:rsidP="002A45FC">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2A45FC">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2A45FC">
        <w:rPr>
          <w:rFonts w:ascii="Roboto" w:hAnsi="Roboto" w:cs="Roboto"/>
          <w:color w:val="333333"/>
          <w:highlight w:val="white"/>
        </w:rPr>
        <w:t xml:space="preserve"> </w:t>
      </w:r>
      <w:r>
        <w:rPr>
          <w:rFonts w:ascii="Calibri" w:hAnsi="Calibri" w:cs="Calibri"/>
          <w:color w:val="333333"/>
          <w:highlight w:val="white"/>
        </w:rPr>
        <w:t>России</w:t>
      </w:r>
      <w:r w:rsidRPr="002A45FC">
        <w:rPr>
          <w:rFonts w:ascii="Roboto" w:hAnsi="Roboto" w:cs="Roboto"/>
          <w:color w:val="333333"/>
          <w:highlight w:val="white"/>
        </w:rPr>
        <w:t xml:space="preserve"> </w:t>
      </w:r>
      <w:r>
        <w:rPr>
          <w:rFonts w:ascii="Calibri" w:hAnsi="Calibri" w:cs="Calibri"/>
          <w:color w:val="333333"/>
          <w:highlight w:val="white"/>
        </w:rPr>
        <w:t>от</w:t>
      </w:r>
      <w:r w:rsidRPr="002A45FC">
        <w:rPr>
          <w:rFonts w:ascii="Roboto" w:hAnsi="Roboto" w:cs="Roboto"/>
          <w:color w:val="333333"/>
          <w:highlight w:val="white"/>
        </w:rPr>
        <w:t xml:space="preserve"> 24 </w:t>
      </w:r>
      <w:r>
        <w:rPr>
          <w:rFonts w:ascii="Calibri" w:hAnsi="Calibri" w:cs="Calibri"/>
          <w:color w:val="333333"/>
          <w:highlight w:val="white"/>
        </w:rPr>
        <w:t>января</w:t>
      </w:r>
      <w:r w:rsidRPr="002A45FC">
        <w:rPr>
          <w:rFonts w:ascii="Roboto" w:hAnsi="Roboto" w:cs="Roboto"/>
          <w:color w:val="333333"/>
          <w:highlight w:val="white"/>
        </w:rPr>
        <w:t xml:space="preserve"> 2022 </w:t>
      </w:r>
      <w:r>
        <w:rPr>
          <w:rFonts w:ascii="Calibri" w:hAnsi="Calibri" w:cs="Calibri"/>
          <w:color w:val="333333"/>
          <w:highlight w:val="white"/>
        </w:rPr>
        <w:t>г</w:t>
      </w:r>
      <w:r w:rsidRPr="002A45FC">
        <w:rPr>
          <w:rFonts w:ascii="Roboto" w:hAnsi="Roboto" w:cs="Roboto"/>
          <w:color w:val="333333"/>
          <w:highlight w:val="white"/>
        </w:rPr>
        <w:t xml:space="preserve">. </w:t>
      </w:r>
      <w:r>
        <w:rPr>
          <w:rFonts w:ascii="Roboto" w:hAnsi="Roboto" w:cs="Roboto"/>
          <w:color w:val="333333"/>
          <w:highlight w:val="white"/>
          <w:lang w:val="en-US"/>
        </w:rPr>
        <w:t>N</w:t>
      </w:r>
      <w:r w:rsidRPr="002A45FC">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2A45FC">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BF6" w:rsidRDefault="005E4BF6">
      <w:pPr>
        <w:spacing w:after="0" w:line="240" w:lineRule="auto"/>
      </w:pPr>
      <w:r>
        <w:separator/>
      </w:r>
    </w:p>
  </w:endnote>
  <w:endnote w:type="continuationSeparator" w:id="0">
    <w:p w:rsidR="005E4BF6" w:rsidRDefault="005E4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00000201" w:usb1="00000000" w:usb2="00000000" w:usb3="00000000" w:csb0="00000004"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72F45" w:rsidRDefault="00572F4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72F4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72F4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72F4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72F4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E137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72F4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E137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BF6" w:rsidRDefault="005E4BF6">
      <w:pPr>
        <w:spacing w:after="0" w:line="240" w:lineRule="auto"/>
      </w:pPr>
      <w:r>
        <w:separator/>
      </w:r>
    </w:p>
  </w:footnote>
  <w:footnote w:type="continuationSeparator" w:id="0">
    <w:p w:rsidR="005E4BF6" w:rsidRDefault="005E4BF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72F45" w:rsidRDefault="00572F4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72F45" w:rsidRDefault="00572F4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72F45" w:rsidRDefault="00572F4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45FC"/>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2F45"/>
    <w:rsid w:val="00577D46"/>
    <w:rsid w:val="00582162"/>
    <w:rsid w:val="00583FE8"/>
    <w:rsid w:val="00585F05"/>
    <w:rsid w:val="00592AB6"/>
    <w:rsid w:val="00593990"/>
    <w:rsid w:val="005948C3"/>
    <w:rsid w:val="005A566A"/>
    <w:rsid w:val="005A6FE3"/>
    <w:rsid w:val="005B1AF4"/>
    <w:rsid w:val="005B710E"/>
    <w:rsid w:val="005E4BF6"/>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379"/>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4980">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4622D-76EF-40B1-AB7F-7F9A6057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1687</Words>
  <Characters>9617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2026-06-24T13:37:00Z</dcterms:created>
  <dcterms:modified xsi:type="dcterms:W3CDTF">2026-06-24T13:37:00Z</dcterms:modified>
</cp:coreProperties>
</file>