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16.06.2026 № 05-07/1306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F15F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HE</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lf</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 </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40"/>
        <w:gridCol w:w="1414"/>
        <w:gridCol w:w="1229"/>
        <w:gridCol w:w="1397"/>
        <w:gridCol w:w="1590"/>
        <w:gridCol w:w="1366"/>
        <w:gridCol w:w="1276"/>
        <w:gridCol w:w="1898"/>
        <w:gridCol w:w="966"/>
        <w:gridCol w:w="1051"/>
        <w:gridCol w:w="1313"/>
        <w:gridCol w:w="736"/>
        <w:gridCol w:w="575"/>
        <w:gridCol w:w="698"/>
      </w:tblGrid>
      <w:tr w:rsidR="00223FF6" w:rsidRPr="00972736" w:rsidTr="00CA5683">
        <w:trPr>
          <w:trHeight w:val="1020"/>
        </w:trPr>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 п/п</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Наименование товара, работы, услуги</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КТРУ/ОКПД2</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Наименование характеристики</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Значение характеристики</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Единица измерения характеристики</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Инструкция по заполнению характеристик в заявке</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Обоснование включения дополнительной информации в сведения о товаре, работе, услуге</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Единица измерения</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Количество товара</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Страна происхождения Товара</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Ставка НДС%</w:t>
            </w:r>
          </w:p>
        </w:tc>
        <w:tc>
          <w:tcPr>
            <w:tcW w:w="180"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Цена за ед. без НДС</w:t>
            </w:r>
          </w:p>
        </w:tc>
        <w:tc>
          <w:tcPr>
            <w:tcW w:w="219"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Сумма без НДС</w:t>
            </w:r>
          </w:p>
        </w:tc>
      </w:tr>
      <w:tr w:rsidR="00223FF6" w:rsidRPr="00972736" w:rsidTr="00CA5683">
        <w:trPr>
          <w:trHeight w:val="334"/>
        </w:trPr>
        <w:tc>
          <w:tcPr>
            <w:tcW w:w="138"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1</w:t>
            </w:r>
          </w:p>
        </w:tc>
        <w:tc>
          <w:tcPr>
            <w:tcW w:w="443"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24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Троакар эндоскопический, одноразового использования</w:t>
            </w:r>
          </w:p>
        </w:tc>
        <w:tc>
          <w:tcPr>
            <w:tcW w:w="385"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32.50.13.190-00007604**</w:t>
            </w:r>
          </w:p>
        </w:tc>
        <w:tc>
          <w:tcPr>
            <w:tcW w:w="2360" w:type="pct"/>
            <w:gridSpan w:val="5"/>
            <w:tcBorders>
              <w:top w:val="nil"/>
              <w:left w:val="nil"/>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Times New Roman" w:eastAsia="Times New Roman" w:hAnsi="Times New Roman" w:cs="Times New Roman"/>
                <w:b/>
                <w:bCs/>
                <w:color w:val="000000"/>
                <w:sz w:val="20"/>
                <w:szCs w:val="20"/>
                <w:lang w:eastAsia="ru-RU"/>
              </w:rPr>
              <w:t> </w:t>
            </w:r>
          </w:p>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303"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Штука</w:t>
            </w:r>
          </w:p>
        </w:tc>
        <w:tc>
          <w:tcPr>
            <w:tcW w:w="329"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378</w:t>
            </w:r>
          </w:p>
        </w:tc>
        <w:tc>
          <w:tcPr>
            <w:tcW w:w="4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23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18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21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Область применения</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Лапароскопический, не предназначен для торакальных операций</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 целью введения эндоскопа и сопутствующих инструментов во время малоинвазивной операции с возможностью инсуффляции</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765"/>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Материал изделия</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Поликарбонат</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Гарантирует целостность корпуса при манипуляциях инструментами. Высокая прозрачность материала обеспечивает визуальный контроль прохождения инструментов через канюлю</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Обтуратор</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Оптический с билатеральными сепараторами и прозрачным кончиком</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формирования доступа путем рассечения волокон ткани</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Канал для введения лапароскопа в обтураторе</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Наличие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Позволяет визуализировать ткани в процессе входа в брюшную полость</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765"/>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Две боковые кнопки на обтураторе для рассоединения с канюлей</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Наличие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Служат активатором фиксации/рассоединения канюли с обтуратором, обеспечивают возможность проведения данной манипуляции одной рукой</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Внутренний диаметр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 12,8 и ≤ 13,1</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совместимости с инструментами, имеющимися у заказчика</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Длина рабочей части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 100 и ≤ 102</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Длина, позволяющая проводить операции у пациентов с нормальной толщиной брюшной стенки</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Минимальный диаметр совместимого инструмента</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≥5</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совместимости с инструментами, имеющимися у заказчика</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Максимальный диаметр совместимого инструмента</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≤12</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совместимости с инструментами, имеющимися у заказчика</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Канюля разборная, состоит из трех разъемных частей</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Съемная система клапанов канюли для облегчения удаления резецированных тканей и биоматериалов</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Размерная цветовая кодировка обтуратора и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Обеспечивает удобство идентификации устройства оператором</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765"/>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Две боковые кнопки для рассоединения переходника с канюлей</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Служат активатором фиксации/рассоединения клапана с гильзой канюли, обеспечивают возможность проведения данной манипуляции одной рукой</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Поверхность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 нанесенной круговой резьбой</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фиксации канюли в брюшной стенке</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Отверстия в латеральных подпальцевых упорах на канюле</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возможности подшивания канюли к коже</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09"/>
        </w:trPr>
        <w:tc>
          <w:tcPr>
            <w:tcW w:w="138"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2</w:t>
            </w:r>
          </w:p>
        </w:tc>
        <w:tc>
          <w:tcPr>
            <w:tcW w:w="443"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24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Троакар эндоскопический, одноразового использования</w:t>
            </w:r>
          </w:p>
        </w:tc>
        <w:tc>
          <w:tcPr>
            <w:tcW w:w="385"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32.50.13.190-00007604**</w:t>
            </w:r>
          </w:p>
        </w:tc>
        <w:tc>
          <w:tcPr>
            <w:tcW w:w="2360" w:type="pct"/>
            <w:gridSpan w:val="5"/>
            <w:tcBorders>
              <w:top w:val="nil"/>
              <w:left w:val="nil"/>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b/>
                <w:bCs/>
                <w:color w:val="000000"/>
                <w:sz w:val="20"/>
                <w:szCs w:val="20"/>
                <w:lang w:eastAsia="ru-RU"/>
              </w:rPr>
              <w:t> </w:t>
            </w:r>
          </w:p>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303"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Штука</w:t>
            </w:r>
          </w:p>
        </w:tc>
        <w:tc>
          <w:tcPr>
            <w:tcW w:w="329"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450</w:t>
            </w:r>
          </w:p>
        </w:tc>
        <w:tc>
          <w:tcPr>
            <w:tcW w:w="4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23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18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21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Область применения</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Лапароскопический, предназначен для малоинвазивных оперативных вмешательств</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 целью введения эндоскопа и сопутствующих инструментов во время малоинвазивной операции с возможностью инсуффляции</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Обтуратор</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Оптический с билатеральными сепараторами и прозрачным кончиком</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Обеспечивает атравматичное проникновение в брюшную полость посредством раздвижения тканей</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Канал для введения лапароскопа в обтураторе</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Наличие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Позволяет визуализировать ткани в процессе входа в брюшную полость</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765"/>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Две боковые кнопки на обтураторе для рассоединения с канюлей</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Наличие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Служат активатором фиксации/рассоединения канюли с обтуратором, обеспечивают возможность проведения данной манипуляции одной рукой</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Внутренний диаметр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≥7 и ≤8</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совместимости с инструментами, имеющимися у заказчика</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Длина рабочей части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 100</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Длина, позволяющая проводить операции у пациентов с нормальной толщиной брюшной стенки</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Минимальный диаметр совместимого инструмента</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≥5</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совместимости с инструментами, имеющимися у заказчика</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Канюля разборная</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Съемная система клапанов канюли для облегчения удаления резецированных тканей и биоматериалов</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Цветовая кодировка обтуратора и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Обеспечивает удобство идентификации устройства оператором</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Поверхность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 нанесенной круговой резьбой</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фиксации канюли в брюшной стенке</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Отверстия в латеральных подпальцевых упорах на канюле</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возможности подшивания канюли к коже</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2404"/>
        </w:trPr>
        <w:tc>
          <w:tcPr>
            <w:tcW w:w="138"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3</w:t>
            </w:r>
          </w:p>
        </w:tc>
        <w:tc>
          <w:tcPr>
            <w:tcW w:w="443"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24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Троакар эндоскопический, одноразового использования</w:t>
            </w:r>
          </w:p>
        </w:tc>
        <w:tc>
          <w:tcPr>
            <w:tcW w:w="385"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32.50.13.190-00007604**</w:t>
            </w:r>
          </w:p>
        </w:tc>
        <w:tc>
          <w:tcPr>
            <w:tcW w:w="2360" w:type="pct"/>
            <w:gridSpan w:val="5"/>
            <w:tcBorders>
              <w:top w:val="nil"/>
              <w:left w:val="nil"/>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Times New Roman" w:eastAsia="Times New Roman" w:hAnsi="Times New Roman" w:cs="Times New Roman"/>
                <w:b/>
                <w:bCs/>
                <w:color w:val="000000"/>
                <w:sz w:val="20"/>
                <w:szCs w:val="20"/>
                <w:lang w:eastAsia="ru-RU"/>
              </w:rPr>
              <w:t> </w:t>
            </w:r>
          </w:p>
        </w:tc>
        <w:tc>
          <w:tcPr>
            <w:tcW w:w="303"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Штука</w:t>
            </w:r>
          </w:p>
        </w:tc>
        <w:tc>
          <w:tcPr>
            <w:tcW w:w="329" w:type="pct"/>
            <w:vMerge w:val="restart"/>
            <w:tcBorders>
              <w:top w:val="nil"/>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66</w:t>
            </w:r>
          </w:p>
        </w:tc>
        <w:tc>
          <w:tcPr>
            <w:tcW w:w="4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23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18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219"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Область применения</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Лапароскопический, не предназначен для  оракальных операций</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 целью введения эндоскопа и сопутствующих инструментов во время малоинвазивной операции с возможностью инсуффляции</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Материал изделия</w:t>
            </w:r>
          </w:p>
        </w:tc>
        <w:tc>
          <w:tcPr>
            <w:tcW w:w="498" w:type="pct"/>
            <w:tcBorders>
              <w:top w:val="nil"/>
              <w:left w:val="nil"/>
              <w:bottom w:val="single" w:sz="4" w:space="0" w:color="auto"/>
              <w:right w:val="single" w:sz="4" w:space="0" w:color="auto"/>
            </w:tcBorders>
            <w:shd w:val="clear" w:color="auto" w:fill="auto"/>
            <w:vAlign w:val="center"/>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Поликарбонат</w:t>
            </w:r>
          </w:p>
        </w:tc>
        <w:tc>
          <w:tcPr>
            <w:tcW w:w="428" w:type="pct"/>
            <w:tcBorders>
              <w:top w:val="nil"/>
              <w:left w:val="nil"/>
              <w:bottom w:val="single" w:sz="4" w:space="0" w:color="auto"/>
              <w:right w:val="single" w:sz="4" w:space="0" w:color="auto"/>
            </w:tcBorders>
            <w:shd w:val="clear" w:color="auto" w:fill="auto"/>
            <w:vAlign w:val="center"/>
          </w:tcPr>
          <w:p w:rsidR="00223FF6" w:rsidRPr="00972736" w:rsidRDefault="00223FF6" w:rsidP="00CA5683">
            <w:pPr>
              <w:spacing w:after="0" w:line="240" w:lineRule="auto"/>
              <w:rPr>
                <w:rFonts w:ascii="Calibri" w:eastAsia="Times New Roman" w:hAnsi="Calibri" w:cs="Arial"/>
                <w:color w:val="000000"/>
                <w:sz w:val="20"/>
                <w:szCs w:val="20"/>
                <w:lang w:eastAsia="ru-RU"/>
              </w:rPr>
            </w:pPr>
          </w:p>
        </w:tc>
        <w:tc>
          <w:tcPr>
            <w:tcW w:w="400" w:type="pct"/>
            <w:tcBorders>
              <w:top w:val="nil"/>
              <w:left w:val="nil"/>
              <w:bottom w:val="single" w:sz="4" w:space="0" w:color="auto"/>
              <w:right w:val="single" w:sz="4" w:space="0" w:color="auto"/>
            </w:tcBorders>
            <w:shd w:val="clear" w:color="auto" w:fill="auto"/>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Гарантирует целостность корпуса при манипуляциях инструментами. Высокая прозрачность материала обеспечивает визуальный контроль прохождения инструментов через канюлю</w:t>
            </w:r>
          </w:p>
        </w:tc>
        <w:tc>
          <w:tcPr>
            <w:tcW w:w="303" w:type="pct"/>
            <w:vMerge/>
            <w:tcBorders>
              <w:top w:val="nil"/>
              <w:left w:val="single" w:sz="4" w:space="0" w:color="auto"/>
              <w:bottom w:val="single" w:sz="4" w:space="0" w:color="auto"/>
              <w:right w:val="single" w:sz="4" w:space="0" w:color="auto"/>
            </w:tcBorders>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Обтуратор</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Оптический с билатеральными сепараторами и прозрачным кончиком</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формирования доступа путем рассечения волокон ткани</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Канал для введения лапароскопа в обтураторе</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Наличие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Позволяет визуализировать ткани в процессе входа в брюшную полость</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765"/>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Две боковые кнопки на обтураторе для рассоединения с канюлей</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Наличие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Служат активатором фиксации/рассоединения канюли с обтуратором, обеспечивают возможность проведения данной манипуляции одной рукой</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Внутренний диаметр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≥12 и ≤12,8</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совместимости с инструментами, имеющимися у заказчика</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Длина рабочей части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 100 и ≤ 102</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Длина, позволяющая проводить операции у пациентов с нормальной толщиной брюшной стенки</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Минимальный диаметр совместимого инструмента</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≥5</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совместимости с инструментами, имеющимися у заказчика</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Максимальный диаметр совместимого инструмента</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≥11</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совместимости с инструментами, имеющимися у заказчика</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Канюля разборная</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Съемная система клапанов канюли для облегчения удаления резецированных тканей и биоматериалов</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Цветовая кодировка обтуратора и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Обеспечивает удобство идентификации устройства оператором</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Поверхность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 нанесенной круговой резьбой</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фиксации канюли в брюшной стенке</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Отверстия в латеральных подпальцевых упорах на канюле</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Calibri" w:eastAsia="Times New Roman" w:hAnsi="Calibri" w:cs="Arial"/>
                <w:color w:val="000000"/>
                <w:sz w:val="20"/>
                <w:szCs w:val="20"/>
                <w:lang w:eastAsia="ru-RU"/>
              </w:rPr>
            </w:pPr>
            <w:r w:rsidRPr="00972736">
              <w:rPr>
                <w:rFonts w:ascii="Calibri" w:eastAsia="Times New Roman" w:hAnsi="Calibri"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возможности подшивания канюли к коже</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775"/>
        </w:trPr>
        <w:tc>
          <w:tcPr>
            <w:tcW w:w="13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4</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24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Троакар эндоскопический, одноразового использования</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32.50.13.190-00007604**</w:t>
            </w:r>
          </w:p>
        </w:tc>
        <w:tc>
          <w:tcPr>
            <w:tcW w:w="2360" w:type="pct"/>
            <w:gridSpan w:val="5"/>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b/>
                <w:bCs/>
                <w:color w:val="000000"/>
                <w:sz w:val="20"/>
                <w:szCs w:val="20"/>
                <w:lang w:eastAsia="ru-RU"/>
              </w:rPr>
            </w:pPr>
            <w:r w:rsidRPr="00972736">
              <w:rPr>
                <w:rFonts w:ascii="Times New Roman" w:eastAsia="Times New Roman" w:hAnsi="Times New Roman" w:cs="Times New Roman"/>
                <w:b/>
                <w:bCs/>
                <w:color w:val="000000"/>
                <w:sz w:val="20"/>
                <w:szCs w:val="20"/>
                <w:lang w:eastAsia="ru-RU"/>
              </w:rPr>
              <w:t> </w:t>
            </w:r>
          </w:p>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Штука</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6</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23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r>
      <w:tr w:rsidR="00223FF6" w:rsidRPr="00972736" w:rsidTr="00CA5683">
        <w:trPr>
          <w:trHeight w:val="510"/>
        </w:trPr>
        <w:tc>
          <w:tcPr>
            <w:tcW w:w="138" w:type="pct"/>
            <w:vMerge/>
            <w:tcBorders>
              <w:top w:val="single" w:sz="4" w:space="0" w:color="auto"/>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Область применения</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Лапароскопический, не предназначен для торакальных операций</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 целью введения эндоскопа и сопутствующих инструментов во время малоинвазивной операции с возможностью инсуффляции</w:t>
            </w: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single" w:sz="4" w:space="0" w:color="auto"/>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single" w:sz="4" w:space="0" w:color="auto"/>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Материал изделия</w:t>
            </w:r>
          </w:p>
        </w:tc>
        <w:tc>
          <w:tcPr>
            <w:tcW w:w="498" w:type="pct"/>
            <w:tcBorders>
              <w:top w:val="nil"/>
              <w:left w:val="nil"/>
              <w:bottom w:val="single" w:sz="4" w:space="0" w:color="auto"/>
              <w:right w:val="single" w:sz="4" w:space="0" w:color="auto"/>
            </w:tcBorders>
            <w:shd w:val="clear" w:color="auto" w:fill="auto"/>
            <w:vAlign w:val="center"/>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Поликарбонат</w:t>
            </w:r>
          </w:p>
        </w:tc>
        <w:tc>
          <w:tcPr>
            <w:tcW w:w="428" w:type="pct"/>
            <w:tcBorders>
              <w:top w:val="nil"/>
              <w:left w:val="nil"/>
              <w:bottom w:val="single" w:sz="4" w:space="0" w:color="auto"/>
              <w:right w:val="single" w:sz="4" w:space="0" w:color="auto"/>
            </w:tcBorders>
            <w:shd w:val="clear" w:color="auto" w:fill="auto"/>
            <w:vAlign w:val="center"/>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400" w:type="pct"/>
            <w:tcBorders>
              <w:top w:val="nil"/>
              <w:left w:val="nil"/>
              <w:bottom w:val="single" w:sz="4" w:space="0" w:color="auto"/>
              <w:right w:val="single" w:sz="4" w:space="0" w:color="auto"/>
            </w:tcBorders>
            <w:shd w:val="clear" w:color="auto" w:fill="auto"/>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Гарантирует целостность корпуса при манипуляциях инструментами. Высокая прозрачность материала обеспечивает визуальный контроль прохождения инструментов через канюлю</w:t>
            </w:r>
          </w:p>
        </w:tc>
        <w:tc>
          <w:tcPr>
            <w:tcW w:w="303" w:type="pct"/>
            <w:vMerge/>
            <w:tcBorders>
              <w:top w:val="nil"/>
              <w:left w:val="single" w:sz="4" w:space="0" w:color="auto"/>
              <w:bottom w:val="single" w:sz="4" w:space="0" w:color="auto"/>
              <w:right w:val="single" w:sz="4" w:space="0" w:color="auto"/>
            </w:tcBorders>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Обтуратор</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Оптический с билатеральными сепараторами и прозрачным кончиком</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Обеспечивает атравматичное проникновение в брюшную полость посредством раздвижения тканей</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Канал для введения лапароскопа в обтураторе</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Наличие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Позволяет визуализировать ткани в процессе входа в брюшную полость</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765"/>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Две боковые кнопки на обтураторе для рассоединения с канюлей</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Наличие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Служат активатором фиксации/рассоединения канюли с обтуратором, обеспечивают возможность проведения данной манипуляции одной рукой</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Внутренний диаметр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 12,8 и ≤ 13,1</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совместимости с инструментами, имеющимися у заказчика</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Длина рабочей части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 150 и ≤ 152</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Длина, позволяющая проводить операции у пациентов с нормальной толщиной брюшной стенки</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765"/>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Совместимость с инструментарием диаметром в диапазоне от минимального до максимального значения</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возможности использования инструментов диаметром в полном обозначенном диапазоне</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Минимальный диаметр совместимого инструмента</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≤5</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совместимости с инструментами, имеющимися у заказчика</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Максимальный диаметр совместимого инструмента</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≥12</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совместимости с инструментами, имеющимися у заказчика</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Канюля разборная, состоит из трех разъемных частей</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Съемная система клапанов канюли для облегчения удаления резецированных тканей и биоматериалов</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Размерная цветовая кодировка обтуратора и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Обеспечивает удобство идентификации устройства оператором</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765"/>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Две боковые кнопки для рассоединения переходника с канюлей</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Служат активатором фиксации/рассоединения клапана с гильзой канюли, обеспечивают возможность проведения данной манипуляции одной рукой</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Поверхность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 нанесенной круговой резьбой</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фиксации канюли в брюшной стенке</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Отверстия в латеральных подпальцевых упорах на канюле</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Соответствие</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Для возможности подшивания канюли к коже</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p>
        </w:tc>
        <w:tc>
          <w:tcPr>
            <w:tcW w:w="412"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3113"/>
        </w:trPr>
        <w:tc>
          <w:tcPr>
            <w:tcW w:w="13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b/>
                <w:bCs/>
                <w:sz w:val="20"/>
                <w:szCs w:val="20"/>
                <w:lang w:eastAsia="ru-RU"/>
              </w:rPr>
            </w:pPr>
            <w:r w:rsidRPr="00972736">
              <w:rPr>
                <w:rFonts w:ascii="Times New Roman" w:eastAsia="Times New Roman" w:hAnsi="Times New Roman" w:cs="Times New Roman"/>
                <w:b/>
                <w:bCs/>
                <w:sz w:val="20"/>
                <w:szCs w:val="20"/>
                <w:lang w:eastAsia="ru-RU"/>
              </w:rPr>
              <w:t>5</w:t>
            </w:r>
          </w:p>
        </w:tc>
        <w:tc>
          <w:tcPr>
            <w:tcW w:w="443" w:type="pct"/>
            <w:vMerge w:val="restart"/>
            <w:tcBorders>
              <w:top w:val="single" w:sz="4" w:space="0" w:color="auto"/>
              <w:left w:val="single" w:sz="4" w:space="0" w:color="auto"/>
              <w:bottom w:val="single" w:sz="4" w:space="0" w:color="auto"/>
              <w:right w:val="single" w:sz="4" w:space="0" w:color="auto"/>
            </w:tcBorders>
            <w:shd w:val="clear" w:color="000000" w:fill="auto"/>
            <w:hideMark/>
          </w:tcPr>
          <w:p w:rsidR="00223FF6" w:rsidRPr="00972736" w:rsidRDefault="00223FF6" w:rsidP="00CA5683">
            <w:pPr>
              <w:spacing w:after="24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Троакар эндоскопический, одноразового использования</w:t>
            </w:r>
          </w:p>
        </w:tc>
        <w:tc>
          <w:tcPr>
            <w:tcW w:w="385" w:type="pct"/>
            <w:vMerge w:val="restart"/>
            <w:tcBorders>
              <w:top w:val="single" w:sz="4" w:space="0" w:color="auto"/>
              <w:left w:val="single" w:sz="4" w:space="0" w:color="auto"/>
              <w:bottom w:val="single" w:sz="4" w:space="0" w:color="auto"/>
              <w:right w:val="single" w:sz="4" w:space="0" w:color="auto"/>
            </w:tcBorders>
            <w:shd w:val="clear" w:color="000000" w:fill="auto"/>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32.50.13.190-00007604**</w:t>
            </w:r>
          </w:p>
        </w:tc>
        <w:tc>
          <w:tcPr>
            <w:tcW w:w="2360" w:type="pct"/>
            <w:gridSpan w:val="5"/>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b/>
                <w:bCs/>
                <w:sz w:val="20"/>
                <w:szCs w:val="20"/>
                <w:lang w:eastAsia="ru-RU"/>
              </w:rPr>
              <w:t> </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Штука</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175</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23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c>
          <w:tcPr>
            <w:tcW w:w="219"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223FF6" w:rsidRPr="00972736" w:rsidRDefault="00223FF6" w:rsidP="00CA5683">
            <w:pPr>
              <w:spacing w:after="0" w:line="240" w:lineRule="auto"/>
              <w:jc w:val="center"/>
              <w:rPr>
                <w:rFonts w:ascii="Arial" w:eastAsia="Times New Roman" w:hAnsi="Arial" w:cs="Arial"/>
                <w:color w:val="000000"/>
                <w:sz w:val="20"/>
                <w:szCs w:val="20"/>
                <w:lang w:eastAsia="ru-RU"/>
              </w:rPr>
            </w:pPr>
            <w:r w:rsidRPr="00972736">
              <w:rPr>
                <w:rFonts w:ascii="Arial" w:eastAsia="Times New Roman" w:hAnsi="Arial" w:cs="Arial"/>
                <w:color w:val="000000"/>
                <w:sz w:val="20"/>
                <w:szCs w:val="20"/>
                <w:lang w:eastAsia="ru-RU"/>
              </w:rPr>
              <w:t> </w:t>
            </w:r>
          </w:p>
        </w:tc>
      </w:tr>
      <w:tr w:rsidR="00223FF6" w:rsidRPr="00972736" w:rsidTr="00CA5683">
        <w:trPr>
          <w:trHeight w:val="510"/>
        </w:trPr>
        <w:tc>
          <w:tcPr>
            <w:tcW w:w="138" w:type="pct"/>
            <w:vMerge/>
            <w:tcBorders>
              <w:top w:val="single" w:sz="4" w:space="0" w:color="auto"/>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b/>
                <w:bCs/>
                <w:sz w:val="20"/>
                <w:szCs w:val="20"/>
                <w:lang w:eastAsia="ru-RU"/>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Назначение</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Троакар лапароскопический, не предназначен для торакальных операций, троакар поперечно-устойчив в передней брюшной стенке</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С целью введения эндоскопа и сопутствующих инструментов во время малоинвазивной операции с возможностью инсуффляции</w:t>
            </w: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29" w:type="pct"/>
            <w:vMerge/>
            <w:tcBorders>
              <w:top w:val="single" w:sz="4" w:space="0" w:color="auto"/>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single" w:sz="4" w:space="0" w:color="auto"/>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single" w:sz="4" w:space="0" w:color="auto"/>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b/>
                <w:bCs/>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Материал изготовления</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Троакар полностью изготовлен из полимерных материалов, без применения металлов</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Для удобства истользованияя устройством</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b/>
                <w:bCs/>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Состав троакара</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Рентгенпрозрачная канюля и обтуратор</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Для проведения контрольных рентгенологических исследований</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b/>
                <w:bCs/>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Обтуратор</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Безлезвийный</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Обеспечивает атравматичное проникновение в брюшную полость посредством раздвижения тканей</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b/>
                <w:bCs/>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Кончик стилета</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Пирамидальный</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Обеспечивает атравматичное проникновение в брюшную полость посредством раздвижения тканей</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b/>
                <w:bCs/>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Внутренний диаметр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5 и ≤ 5,8</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Для совместимости с инструментами, имеющимися у заказчика</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b/>
                <w:bCs/>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Длина рабочей части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53 и ≤ 71</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Миллиметр</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Участник закупки указывает в заявке конкретное значение характеристики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Длина, позволяющая проводить операции у пациентов с нормальной толщиной брюшной стенки</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b/>
                <w:bCs/>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Состав канюли</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гильза и  клапанный блок</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Для удобства истользованияя устройством</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b/>
                <w:bCs/>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Канюля</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Канюля троакара без навинчивающейся Люер-Лок заглушки, имеет гладкую безрезьбовую часть на дистальном конце троакара</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Для удобства истользованияя устройством</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b/>
                <w:bCs/>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Гильза</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xml:space="preserve"> Гильза троакара - полая трубка с краном инсуффляции, имеет круглую форму, с умеренно усеченным концом</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Позволяет визуализировать ткани в процессе входа в брюшную полость</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972736"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b/>
                <w:bCs/>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Состав  клапанного блока</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xml:space="preserve"> Клапанный блок представлен  системой мембран для инструментов 5 мм</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Для удобства истользованияя устройством</w:t>
            </w:r>
          </w:p>
        </w:tc>
        <w:tc>
          <w:tcPr>
            <w:tcW w:w="30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Arial" w:eastAsia="Times New Roman" w:hAnsi="Arial" w:cs="Arial"/>
                <w:color w:val="000000"/>
                <w:sz w:val="20"/>
                <w:szCs w:val="20"/>
                <w:lang w:eastAsia="ru-RU"/>
              </w:rPr>
            </w:pPr>
          </w:p>
        </w:tc>
      </w:tr>
      <w:tr w:rsidR="00223FF6" w:rsidRPr="003A6083" w:rsidTr="00CA5683">
        <w:trPr>
          <w:trHeight w:val="510"/>
        </w:trPr>
        <w:tc>
          <w:tcPr>
            <w:tcW w:w="138"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b/>
                <w:bCs/>
                <w:sz w:val="20"/>
                <w:szCs w:val="20"/>
                <w:lang w:eastAsia="ru-RU"/>
              </w:rPr>
            </w:pPr>
          </w:p>
        </w:tc>
        <w:tc>
          <w:tcPr>
            <w:tcW w:w="443"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385" w:type="pct"/>
            <w:vMerge/>
            <w:tcBorders>
              <w:top w:val="nil"/>
              <w:left w:val="single" w:sz="4" w:space="0" w:color="auto"/>
              <w:bottom w:val="single" w:sz="4" w:space="0" w:color="auto"/>
              <w:right w:val="single" w:sz="4" w:space="0" w:color="auto"/>
            </w:tcBorders>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p>
        </w:tc>
        <w:tc>
          <w:tcPr>
            <w:tcW w:w="43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Поверхность гильзы</w:t>
            </w:r>
          </w:p>
        </w:tc>
        <w:tc>
          <w:tcPr>
            <w:tcW w:w="49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С нанесенной спиральной резьбой</w:t>
            </w:r>
          </w:p>
        </w:tc>
        <w:tc>
          <w:tcPr>
            <w:tcW w:w="428"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jc w:val="center"/>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 </w:t>
            </w:r>
          </w:p>
        </w:tc>
        <w:tc>
          <w:tcPr>
            <w:tcW w:w="400" w:type="pct"/>
            <w:tcBorders>
              <w:top w:val="nil"/>
              <w:left w:val="nil"/>
              <w:bottom w:val="single" w:sz="4" w:space="0" w:color="auto"/>
              <w:right w:val="single" w:sz="4" w:space="0" w:color="auto"/>
            </w:tcBorders>
            <w:shd w:val="clear" w:color="auto" w:fill="auto"/>
            <w:vAlign w:val="center"/>
            <w:hideMark/>
          </w:tcPr>
          <w:p w:rsidR="00223FF6" w:rsidRPr="00972736" w:rsidRDefault="00223FF6" w:rsidP="00CA5683">
            <w:pPr>
              <w:spacing w:after="0" w:line="240" w:lineRule="auto"/>
              <w:rPr>
                <w:rFonts w:ascii="Times New Roman" w:eastAsia="Times New Roman" w:hAnsi="Times New Roman" w:cs="Times New Roman"/>
                <w:color w:val="000000"/>
                <w:sz w:val="20"/>
                <w:szCs w:val="20"/>
                <w:lang w:eastAsia="ru-RU"/>
              </w:rPr>
            </w:pPr>
            <w:r w:rsidRPr="0097273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95" w:type="pct"/>
            <w:tcBorders>
              <w:top w:val="nil"/>
              <w:left w:val="nil"/>
              <w:bottom w:val="single" w:sz="4" w:space="0" w:color="auto"/>
              <w:right w:val="single" w:sz="4" w:space="0" w:color="auto"/>
            </w:tcBorders>
            <w:shd w:val="clear" w:color="auto" w:fill="auto"/>
            <w:vAlign w:val="center"/>
            <w:hideMark/>
          </w:tcPr>
          <w:p w:rsidR="00223FF6" w:rsidRPr="003A6083" w:rsidRDefault="00223FF6" w:rsidP="00CA5683">
            <w:pPr>
              <w:spacing w:after="0" w:line="240" w:lineRule="auto"/>
              <w:rPr>
                <w:rFonts w:ascii="Times New Roman" w:eastAsia="Times New Roman" w:hAnsi="Times New Roman" w:cs="Times New Roman"/>
                <w:sz w:val="20"/>
                <w:szCs w:val="20"/>
                <w:lang w:eastAsia="ru-RU"/>
              </w:rPr>
            </w:pPr>
            <w:r w:rsidRPr="00972736">
              <w:rPr>
                <w:rFonts w:ascii="Times New Roman" w:eastAsia="Times New Roman" w:hAnsi="Times New Roman" w:cs="Times New Roman"/>
                <w:sz w:val="20"/>
                <w:szCs w:val="20"/>
                <w:lang w:eastAsia="ru-RU"/>
              </w:rPr>
              <w:t>Для фиксации канюли в брюшной стенке</w:t>
            </w:r>
          </w:p>
        </w:tc>
        <w:tc>
          <w:tcPr>
            <w:tcW w:w="303" w:type="pct"/>
            <w:vMerge/>
            <w:tcBorders>
              <w:top w:val="nil"/>
              <w:left w:val="single" w:sz="4" w:space="0" w:color="auto"/>
              <w:bottom w:val="single" w:sz="4" w:space="0" w:color="auto"/>
              <w:right w:val="single" w:sz="4" w:space="0" w:color="auto"/>
            </w:tcBorders>
            <w:vAlign w:val="center"/>
            <w:hideMark/>
          </w:tcPr>
          <w:p w:rsidR="00223FF6" w:rsidRPr="003A6083" w:rsidRDefault="00223FF6" w:rsidP="00CA5683">
            <w:pPr>
              <w:spacing w:after="0" w:line="240" w:lineRule="auto"/>
              <w:rPr>
                <w:rFonts w:ascii="Times New Roman" w:eastAsia="Times New Roman" w:hAnsi="Times New Roman" w:cs="Times New Roman"/>
                <w:sz w:val="20"/>
                <w:szCs w:val="20"/>
                <w:lang w:eastAsia="ru-RU"/>
              </w:rPr>
            </w:pPr>
          </w:p>
        </w:tc>
        <w:tc>
          <w:tcPr>
            <w:tcW w:w="329" w:type="pct"/>
            <w:vMerge/>
            <w:tcBorders>
              <w:top w:val="nil"/>
              <w:left w:val="single" w:sz="4" w:space="0" w:color="auto"/>
              <w:bottom w:val="single" w:sz="4" w:space="0" w:color="auto"/>
              <w:right w:val="single" w:sz="4" w:space="0" w:color="auto"/>
            </w:tcBorders>
            <w:vAlign w:val="center"/>
            <w:hideMark/>
          </w:tcPr>
          <w:p w:rsidR="00223FF6" w:rsidRPr="003A6083" w:rsidRDefault="00223FF6" w:rsidP="00CA5683">
            <w:pPr>
              <w:spacing w:after="0" w:line="240" w:lineRule="auto"/>
              <w:rPr>
                <w:rFonts w:ascii="Times New Roman" w:eastAsia="Times New Roman" w:hAnsi="Times New Roman" w:cs="Times New Roman"/>
                <w:sz w:val="20"/>
                <w:szCs w:val="20"/>
                <w:lang w:eastAsia="ru-RU"/>
              </w:rPr>
            </w:pPr>
          </w:p>
        </w:tc>
        <w:tc>
          <w:tcPr>
            <w:tcW w:w="412" w:type="pct"/>
            <w:vMerge/>
            <w:tcBorders>
              <w:top w:val="nil"/>
              <w:left w:val="single" w:sz="4" w:space="0" w:color="auto"/>
              <w:bottom w:val="single" w:sz="4" w:space="0" w:color="000000"/>
              <w:right w:val="single" w:sz="4" w:space="0" w:color="auto"/>
            </w:tcBorders>
            <w:vAlign w:val="center"/>
            <w:hideMark/>
          </w:tcPr>
          <w:p w:rsidR="00223FF6" w:rsidRPr="003A6083" w:rsidRDefault="00223FF6" w:rsidP="00CA5683">
            <w:pPr>
              <w:spacing w:after="0" w:line="240" w:lineRule="auto"/>
              <w:rPr>
                <w:rFonts w:ascii="Arial" w:eastAsia="Times New Roman" w:hAnsi="Arial" w:cs="Arial"/>
                <w:color w:val="000000"/>
                <w:sz w:val="20"/>
                <w:szCs w:val="20"/>
                <w:lang w:eastAsia="ru-RU"/>
              </w:rPr>
            </w:pPr>
          </w:p>
        </w:tc>
        <w:tc>
          <w:tcPr>
            <w:tcW w:w="231" w:type="pct"/>
            <w:vMerge/>
            <w:tcBorders>
              <w:top w:val="nil"/>
              <w:left w:val="single" w:sz="4" w:space="0" w:color="auto"/>
              <w:bottom w:val="single" w:sz="4" w:space="0" w:color="000000"/>
              <w:right w:val="single" w:sz="4" w:space="0" w:color="auto"/>
            </w:tcBorders>
            <w:vAlign w:val="center"/>
            <w:hideMark/>
          </w:tcPr>
          <w:p w:rsidR="00223FF6" w:rsidRPr="003A6083" w:rsidRDefault="00223FF6" w:rsidP="00CA5683">
            <w:pPr>
              <w:spacing w:after="0" w:line="240" w:lineRule="auto"/>
              <w:rPr>
                <w:rFonts w:ascii="Arial" w:eastAsia="Times New Roman" w:hAnsi="Arial" w:cs="Arial"/>
                <w:color w:val="000000"/>
                <w:sz w:val="20"/>
                <w:szCs w:val="20"/>
                <w:lang w:eastAsia="ru-RU"/>
              </w:rPr>
            </w:pPr>
          </w:p>
        </w:tc>
        <w:tc>
          <w:tcPr>
            <w:tcW w:w="180" w:type="pct"/>
            <w:vMerge/>
            <w:tcBorders>
              <w:top w:val="nil"/>
              <w:left w:val="single" w:sz="4" w:space="0" w:color="auto"/>
              <w:bottom w:val="single" w:sz="4" w:space="0" w:color="000000"/>
              <w:right w:val="single" w:sz="4" w:space="0" w:color="auto"/>
            </w:tcBorders>
            <w:vAlign w:val="center"/>
            <w:hideMark/>
          </w:tcPr>
          <w:p w:rsidR="00223FF6" w:rsidRPr="003A6083" w:rsidRDefault="00223FF6" w:rsidP="00CA5683">
            <w:pPr>
              <w:spacing w:after="0" w:line="240" w:lineRule="auto"/>
              <w:rPr>
                <w:rFonts w:ascii="Arial" w:eastAsia="Times New Roman" w:hAnsi="Arial" w:cs="Arial"/>
                <w:color w:val="000000"/>
                <w:sz w:val="20"/>
                <w:szCs w:val="20"/>
                <w:lang w:eastAsia="ru-RU"/>
              </w:rPr>
            </w:pPr>
          </w:p>
        </w:tc>
        <w:tc>
          <w:tcPr>
            <w:tcW w:w="219" w:type="pct"/>
            <w:vMerge/>
            <w:tcBorders>
              <w:top w:val="nil"/>
              <w:left w:val="single" w:sz="4" w:space="0" w:color="auto"/>
              <w:bottom w:val="single" w:sz="4" w:space="0" w:color="auto"/>
              <w:right w:val="single" w:sz="4" w:space="0" w:color="auto"/>
            </w:tcBorders>
            <w:vAlign w:val="center"/>
            <w:hideMark/>
          </w:tcPr>
          <w:p w:rsidR="00223FF6" w:rsidRPr="003A6083" w:rsidRDefault="00223FF6" w:rsidP="00CA5683">
            <w:pPr>
              <w:spacing w:after="0" w:line="240" w:lineRule="auto"/>
              <w:rPr>
                <w:rFonts w:ascii="Arial" w:eastAsia="Times New Roman" w:hAnsi="Arial" w:cs="Arial"/>
                <w:color w:val="000000"/>
                <w:sz w:val="20"/>
                <w:szCs w:val="20"/>
                <w:lang w:eastAsia="ru-RU"/>
              </w:rPr>
            </w:pPr>
          </w:p>
        </w:tc>
      </w:tr>
    </w:tbl>
    <w:p w:rsidR="00223FF6" w:rsidRDefault="00223FF6" w:rsidP="00223FF6">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3A6083">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3A6083">
        <w:rPr>
          <w:rFonts w:ascii="Roboto" w:hAnsi="Roboto" w:cs="Roboto"/>
          <w:color w:val="333333"/>
          <w:highlight w:val="white"/>
        </w:rPr>
        <w:t xml:space="preserve"> </w:t>
      </w:r>
      <w:r>
        <w:rPr>
          <w:rFonts w:ascii="Calibri" w:hAnsi="Calibri" w:cs="Calibri"/>
          <w:color w:val="333333"/>
          <w:highlight w:val="white"/>
        </w:rPr>
        <w:t>России</w:t>
      </w:r>
      <w:r w:rsidRPr="003A6083">
        <w:rPr>
          <w:rFonts w:ascii="Roboto" w:hAnsi="Roboto" w:cs="Roboto"/>
          <w:color w:val="333333"/>
          <w:highlight w:val="white"/>
        </w:rPr>
        <w:t xml:space="preserve"> </w:t>
      </w:r>
      <w:r>
        <w:rPr>
          <w:rFonts w:ascii="Calibri" w:hAnsi="Calibri" w:cs="Calibri"/>
          <w:color w:val="333333"/>
          <w:highlight w:val="white"/>
        </w:rPr>
        <w:t>от</w:t>
      </w:r>
      <w:r w:rsidRPr="003A6083">
        <w:rPr>
          <w:rFonts w:ascii="Roboto" w:hAnsi="Roboto" w:cs="Roboto"/>
          <w:color w:val="333333"/>
          <w:highlight w:val="white"/>
        </w:rPr>
        <w:t xml:space="preserve"> 24 </w:t>
      </w:r>
      <w:r>
        <w:rPr>
          <w:rFonts w:ascii="Calibri" w:hAnsi="Calibri" w:cs="Calibri"/>
          <w:color w:val="333333"/>
          <w:highlight w:val="white"/>
        </w:rPr>
        <w:t>января</w:t>
      </w:r>
      <w:r w:rsidRPr="003A6083">
        <w:rPr>
          <w:rFonts w:ascii="Roboto" w:hAnsi="Roboto" w:cs="Roboto"/>
          <w:color w:val="333333"/>
          <w:highlight w:val="white"/>
        </w:rPr>
        <w:t xml:space="preserve"> 2022 </w:t>
      </w:r>
      <w:r>
        <w:rPr>
          <w:rFonts w:ascii="Calibri" w:hAnsi="Calibri" w:cs="Calibri"/>
          <w:color w:val="333333"/>
          <w:highlight w:val="white"/>
        </w:rPr>
        <w:t>г</w:t>
      </w:r>
      <w:r w:rsidRPr="003A6083">
        <w:rPr>
          <w:rFonts w:ascii="Roboto" w:hAnsi="Roboto" w:cs="Roboto"/>
          <w:color w:val="333333"/>
          <w:highlight w:val="white"/>
        </w:rPr>
        <w:t xml:space="preserve">. </w:t>
      </w:r>
      <w:r>
        <w:rPr>
          <w:rFonts w:ascii="Roboto" w:hAnsi="Roboto" w:cs="Roboto"/>
          <w:color w:val="333333"/>
          <w:highlight w:val="white"/>
          <w:lang w:val="en-US"/>
        </w:rPr>
        <w:t>N</w:t>
      </w:r>
      <w:r w:rsidRPr="003A6083">
        <w:rPr>
          <w:rFonts w:ascii="Roboto" w:hAnsi="Roboto" w:cs="Roboto"/>
          <w:color w:val="333333"/>
          <w:highlight w:val="white"/>
        </w:rPr>
        <w:t xml:space="preserve"> 24-03-08/4090)</w:t>
      </w:r>
    </w:p>
    <w:p w:rsidR="00223FF6" w:rsidRDefault="00223FF6" w:rsidP="00223FF6">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223FF6">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649" w:rsidRDefault="00FE1649">
      <w:pPr>
        <w:spacing w:after="0" w:line="240" w:lineRule="auto"/>
      </w:pPr>
      <w:r>
        <w:separator/>
      </w:r>
    </w:p>
  </w:endnote>
  <w:endnote w:type="continuationSeparator" w:id="0">
    <w:p w:rsidR="00FE1649" w:rsidRDefault="00FE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15F7" w:rsidRDefault="008F15F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F15F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F15F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F15F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F15F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7273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F15F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7273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649" w:rsidRDefault="00FE1649">
      <w:pPr>
        <w:spacing w:after="0" w:line="240" w:lineRule="auto"/>
      </w:pPr>
      <w:r>
        <w:separator/>
      </w:r>
    </w:p>
  </w:footnote>
  <w:footnote w:type="continuationSeparator" w:id="0">
    <w:p w:rsidR="00FE1649" w:rsidRDefault="00FE164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15F7" w:rsidRDefault="008F15F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15F7" w:rsidRDefault="008F15F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F15F7" w:rsidRDefault="008F15F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3FF6"/>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15F7"/>
    <w:rsid w:val="008F273B"/>
    <w:rsid w:val="008F3B0B"/>
    <w:rsid w:val="008F4DD1"/>
    <w:rsid w:val="0091306B"/>
    <w:rsid w:val="00924D15"/>
    <w:rsid w:val="00930289"/>
    <w:rsid w:val="00942FAD"/>
    <w:rsid w:val="00964265"/>
    <w:rsid w:val="00971FDB"/>
    <w:rsid w:val="00972736"/>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1649"/>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6B539-BD69-413A-B58F-27369F46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3133</Words>
  <Characters>17863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2026-06-16T10:44:00Z</dcterms:created>
  <dcterms:modified xsi:type="dcterms:W3CDTF">2026-06-16T10:44:00Z</dcterms:modified>
</cp:coreProperties>
</file>