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21.1-03/2179</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A3FEC">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10.12.2026.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преимущество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ook w:val="04A0" w:firstRow="1" w:lastRow="0" w:firstColumn="1" w:lastColumn="0" w:noHBand="0" w:noVBand="1"/>
      </w:tblPr>
      <w:tblGrid>
        <w:gridCol w:w="410"/>
        <w:gridCol w:w="1447"/>
        <w:gridCol w:w="1219"/>
        <w:gridCol w:w="2181"/>
        <w:gridCol w:w="1424"/>
        <w:gridCol w:w="1424"/>
        <w:gridCol w:w="1424"/>
        <w:gridCol w:w="1642"/>
        <w:gridCol w:w="1021"/>
        <w:gridCol w:w="1417"/>
        <w:gridCol w:w="746"/>
        <w:gridCol w:w="861"/>
        <w:gridCol w:w="733"/>
      </w:tblGrid>
      <w:tr w:rsidR="00943450" w:rsidRPr="00943450" w:rsidTr="00943450">
        <w:trPr>
          <w:trHeight w:val="1020"/>
        </w:trPr>
        <w:tc>
          <w:tcPr>
            <w:tcW w:w="1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пп</w:t>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Наименование товара, работы, услуги</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Код позиции</w:t>
            </w:r>
          </w:p>
        </w:tc>
        <w:tc>
          <w:tcPr>
            <w:tcW w:w="2096" w:type="pct"/>
            <w:gridSpan w:val="4"/>
            <w:tcBorders>
              <w:top w:val="single" w:sz="4" w:space="0" w:color="auto"/>
              <w:left w:val="nil"/>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Характеристики товара, работы, услуги</w:t>
            </w:r>
          </w:p>
        </w:tc>
        <w:tc>
          <w:tcPr>
            <w:tcW w:w="4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Количество(объем работы, услуги)</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Единица измерения</w:t>
            </w:r>
          </w:p>
        </w:tc>
        <w:tc>
          <w:tcPr>
            <w:tcW w:w="402" w:type="pct"/>
            <w:tcBorders>
              <w:top w:val="single" w:sz="4" w:space="0" w:color="auto"/>
              <w:left w:val="nil"/>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Страна происхождения Товара</w:t>
            </w: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Ставка НДС%</w:t>
            </w:r>
          </w:p>
        </w:tc>
        <w:tc>
          <w:tcPr>
            <w:tcW w:w="24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Цена за единицу без НДС</w:t>
            </w:r>
          </w:p>
        </w:tc>
        <w:tc>
          <w:tcPr>
            <w:tcW w:w="2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Сумма без НДС</w:t>
            </w:r>
          </w:p>
        </w:tc>
      </w:tr>
      <w:tr w:rsidR="00943450" w:rsidRPr="00943450" w:rsidTr="00943450">
        <w:trPr>
          <w:trHeight w:val="1020"/>
        </w:trPr>
        <w:tc>
          <w:tcPr>
            <w:tcW w:w="135" w:type="pct"/>
            <w:vMerge/>
            <w:tcBorders>
              <w:top w:val="single" w:sz="4" w:space="0" w:color="auto"/>
              <w:left w:val="single" w:sz="4" w:space="0" w:color="auto"/>
              <w:bottom w:val="single" w:sz="4" w:space="0" w:color="auto"/>
              <w:right w:val="single" w:sz="4" w:space="0" w:color="auto"/>
            </w:tcBorders>
            <w:vAlign w:val="center"/>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p>
        </w:tc>
        <w:tc>
          <w:tcPr>
            <w:tcW w:w="734" w:type="pct"/>
            <w:tcBorders>
              <w:top w:val="nil"/>
              <w:left w:val="nil"/>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Наименование характеристики</w:t>
            </w:r>
          </w:p>
        </w:tc>
        <w:tc>
          <w:tcPr>
            <w:tcW w:w="514" w:type="pct"/>
            <w:tcBorders>
              <w:top w:val="nil"/>
              <w:left w:val="nil"/>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Значение характеристики</w:t>
            </w:r>
          </w:p>
        </w:tc>
        <w:tc>
          <w:tcPr>
            <w:tcW w:w="404" w:type="pct"/>
            <w:tcBorders>
              <w:top w:val="nil"/>
              <w:left w:val="nil"/>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Единица измерения характеристики</w:t>
            </w:r>
          </w:p>
        </w:tc>
        <w:tc>
          <w:tcPr>
            <w:tcW w:w="445" w:type="pct"/>
            <w:tcBorders>
              <w:top w:val="nil"/>
              <w:left w:val="nil"/>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Инструкция по заполнению характеристик в заявке</w:t>
            </w:r>
          </w:p>
        </w:tc>
        <w:tc>
          <w:tcPr>
            <w:tcW w:w="466" w:type="pct"/>
            <w:vMerge/>
            <w:tcBorders>
              <w:top w:val="single" w:sz="4" w:space="0" w:color="auto"/>
              <w:left w:val="single" w:sz="4" w:space="0" w:color="auto"/>
              <w:bottom w:val="single" w:sz="4" w:space="0" w:color="auto"/>
              <w:right w:val="single" w:sz="4" w:space="0" w:color="auto"/>
            </w:tcBorders>
            <w:vAlign w:val="center"/>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p>
        </w:tc>
        <w:tc>
          <w:tcPr>
            <w:tcW w:w="288" w:type="pct"/>
            <w:vMerge/>
            <w:tcBorders>
              <w:top w:val="single" w:sz="4" w:space="0" w:color="auto"/>
              <w:left w:val="single" w:sz="4" w:space="0" w:color="auto"/>
              <w:bottom w:val="single" w:sz="4" w:space="0" w:color="auto"/>
              <w:right w:val="single" w:sz="4" w:space="0" w:color="auto"/>
            </w:tcBorders>
            <w:vAlign w:val="center"/>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p>
        </w:tc>
        <w:tc>
          <w:tcPr>
            <w:tcW w:w="402" w:type="pct"/>
            <w:tcBorders>
              <w:top w:val="nil"/>
              <w:left w:val="nil"/>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w:t>
            </w:r>
          </w:p>
        </w:tc>
        <w:tc>
          <w:tcPr>
            <w:tcW w:w="262" w:type="pct"/>
            <w:tcBorders>
              <w:top w:val="nil"/>
              <w:left w:val="nil"/>
              <w:bottom w:val="single" w:sz="4" w:space="0" w:color="auto"/>
              <w:right w:val="single" w:sz="4" w:space="0" w:color="auto"/>
            </w:tcBorders>
            <w:shd w:val="clear" w:color="auto" w:fill="auto"/>
            <w:vAlign w:val="center"/>
            <w:hideMark/>
          </w:tcPr>
          <w:p w:rsidR="00943450" w:rsidRPr="00943450" w:rsidRDefault="00943450" w:rsidP="00943450">
            <w:pPr>
              <w:spacing w:after="0" w:line="240" w:lineRule="auto"/>
              <w:jc w:val="center"/>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w:t>
            </w: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p>
        </w:tc>
        <w:tc>
          <w:tcPr>
            <w:tcW w:w="232" w:type="pct"/>
            <w:vMerge/>
            <w:tcBorders>
              <w:top w:val="single" w:sz="4" w:space="0" w:color="auto"/>
              <w:left w:val="single" w:sz="4" w:space="0" w:color="auto"/>
              <w:bottom w:val="single" w:sz="4" w:space="0" w:color="auto"/>
              <w:right w:val="single" w:sz="4" w:space="0" w:color="auto"/>
            </w:tcBorders>
            <w:vAlign w:val="center"/>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p>
        </w:tc>
      </w:tr>
      <w:tr w:rsidR="00943450" w:rsidRPr="00943450" w:rsidTr="00943450">
        <w:trPr>
          <w:trHeight w:val="1035"/>
        </w:trPr>
        <w:tc>
          <w:tcPr>
            <w:tcW w:w="135"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jc w:val="right"/>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1</w:t>
            </w:r>
          </w:p>
        </w:tc>
        <w:tc>
          <w:tcPr>
            <w:tcW w:w="532" w:type="pct"/>
            <w:tcBorders>
              <w:top w:val="nil"/>
              <w:left w:val="nil"/>
              <w:bottom w:val="nil"/>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Набор для системы подготовки крови для аутотрансфузии</w:t>
            </w:r>
          </w:p>
        </w:tc>
        <w:tc>
          <w:tcPr>
            <w:tcW w:w="345" w:type="pct"/>
            <w:tcBorders>
              <w:top w:val="nil"/>
              <w:left w:val="nil"/>
              <w:bottom w:val="nil"/>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32.50.50.190-00001212**</w:t>
            </w:r>
          </w:p>
        </w:tc>
        <w:tc>
          <w:tcPr>
            <w:tcW w:w="73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Совместим с аппаратом для аутогемотрансфузии CATSmart (имеется у Заказчика)</w:t>
            </w:r>
          </w:p>
        </w:tc>
        <w:tc>
          <w:tcPr>
            <w:tcW w:w="51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w:t>
            </w:r>
          </w:p>
        </w:tc>
        <w:tc>
          <w:tcPr>
            <w:tcW w:w="445"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jc w:val="right"/>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20</w:t>
            </w:r>
          </w:p>
        </w:tc>
        <w:tc>
          <w:tcPr>
            <w:tcW w:w="288" w:type="pct"/>
            <w:tcBorders>
              <w:top w:val="nil"/>
              <w:left w:val="nil"/>
              <w:bottom w:val="nil"/>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Штука</w:t>
            </w:r>
          </w:p>
        </w:tc>
        <w:tc>
          <w:tcPr>
            <w:tcW w:w="402" w:type="pct"/>
            <w:tcBorders>
              <w:top w:val="nil"/>
              <w:left w:val="nil"/>
              <w:bottom w:val="nil"/>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w:t>
            </w:r>
          </w:p>
        </w:tc>
        <w:tc>
          <w:tcPr>
            <w:tcW w:w="262" w:type="pct"/>
            <w:tcBorders>
              <w:top w:val="nil"/>
              <w:left w:val="nil"/>
              <w:bottom w:val="nil"/>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w:t>
            </w:r>
          </w:p>
        </w:tc>
        <w:tc>
          <w:tcPr>
            <w:tcW w:w="24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r>
      <w:tr w:rsidR="00943450" w:rsidRPr="00943450" w:rsidTr="00943450">
        <w:trPr>
          <w:trHeight w:val="1545"/>
        </w:trPr>
        <w:tc>
          <w:tcPr>
            <w:tcW w:w="135"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5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734" w:type="pct"/>
            <w:tcBorders>
              <w:top w:val="nil"/>
              <w:left w:val="single" w:sz="4" w:space="0" w:color="auto"/>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Предназначен для сбора крови при оперативном вмешательстве, ее антикоагуляции, предварительной фильтрации и обработки с целью получения отмытых эритроцитов для реинфузии.</w:t>
            </w:r>
          </w:p>
        </w:tc>
        <w:tc>
          <w:tcPr>
            <w:tcW w:w="51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w:t>
            </w:r>
          </w:p>
        </w:tc>
        <w:tc>
          <w:tcPr>
            <w:tcW w:w="445"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6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r>
      <w:tr w:rsidR="00943450" w:rsidRPr="00943450" w:rsidTr="00943450">
        <w:trPr>
          <w:trHeight w:val="1290"/>
        </w:trPr>
        <w:tc>
          <w:tcPr>
            <w:tcW w:w="135"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5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734" w:type="pct"/>
            <w:tcBorders>
              <w:top w:val="nil"/>
              <w:left w:val="single" w:sz="4" w:space="0" w:color="auto"/>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Набор для интраоперационной реифузии, в составе: набор для аутотрансфузии, вакуумный резервуар, трубка с гепариновой магистралью</w:t>
            </w:r>
          </w:p>
        </w:tc>
        <w:tc>
          <w:tcPr>
            <w:tcW w:w="51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Наличие</w:t>
            </w:r>
          </w:p>
        </w:tc>
        <w:tc>
          <w:tcPr>
            <w:tcW w:w="40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w:t>
            </w:r>
          </w:p>
        </w:tc>
        <w:tc>
          <w:tcPr>
            <w:tcW w:w="445"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6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r>
      <w:tr w:rsidR="00943450" w:rsidRPr="00943450" w:rsidTr="00943450">
        <w:trPr>
          <w:trHeight w:val="1035"/>
        </w:trPr>
        <w:tc>
          <w:tcPr>
            <w:tcW w:w="135"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5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734" w:type="pct"/>
            <w:tcBorders>
              <w:top w:val="nil"/>
              <w:left w:val="single" w:sz="4" w:space="0" w:color="auto"/>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Набор для проведения аутотрансфузии предназначен для сепарации клеток крови,  ресуспендирования и сбора эритроцитов в мешок для реинфузии</w:t>
            </w:r>
          </w:p>
        </w:tc>
        <w:tc>
          <w:tcPr>
            <w:tcW w:w="51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w:t>
            </w:r>
          </w:p>
        </w:tc>
        <w:tc>
          <w:tcPr>
            <w:tcW w:w="445"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6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r>
      <w:tr w:rsidR="00943450" w:rsidRPr="00943450" w:rsidTr="00943450">
        <w:trPr>
          <w:trHeight w:val="1035"/>
        </w:trPr>
        <w:tc>
          <w:tcPr>
            <w:tcW w:w="135"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5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734" w:type="pct"/>
            <w:tcBorders>
              <w:top w:val="nil"/>
              <w:left w:val="single" w:sz="4" w:space="0" w:color="auto"/>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Промывочная камера предназначена для  сепарации клеток крови и ресуспендирования эритроцитов</w:t>
            </w:r>
          </w:p>
        </w:tc>
        <w:tc>
          <w:tcPr>
            <w:tcW w:w="51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w:t>
            </w:r>
          </w:p>
        </w:tc>
        <w:tc>
          <w:tcPr>
            <w:tcW w:w="445"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6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r>
      <w:tr w:rsidR="00943450" w:rsidRPr="00943450" w:rsidTr="00943450">
        <w:trPr>
          <w:trHeight w:val="1035"/>
        </w:trPr>
        <w:tc>
          <w:tcPr>
            <w:tcW w:w="135"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5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734" w:type="pct"/>
            <w:tcBorders>
              <w:top w:val="nil"/>
              <w:left w:val="single" w:sz="4" w:space="0" w:color="auto"/>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Трубка с гепариновой магистралью предназначена для  аспирации раневой крови и смешивания с раствором антикоагулянта</w:t>
            </w:r>
          </w:p>
        </w:tc>
        <w:tc>
          <w:tcPr>
            <w:tcW w:w="51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w:t>
            </w:r>
          </w:p>
        </w:tc>
        <w:tc>
          <w:tcPr>
            <w:tcW w:w="445"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6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r>
      <w:tr w:rsidR="00943450" w:rsidRPr="00943450" w:rsidTr="00943450">
        <w:trPr>
          <w:trHeight w:val="1035"/>
        </w:trPr>
        <w:tc>
          <w:tcPr>
            <w:tcW w:w="135"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5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345"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734" w:type="pct"/>
            <w:tcBorders>
              <w:top w:val="nil"/>
              <w:left w:val="single" w:sz="4" w:space="0" w:color="auto"/>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Вакуумный резервуар предназначен для сбора раневой крови</w:t>
            </w:r>
          </w:p>
        </w:tc>
        <w:tc>
          <w:tcPr>
            <w:tcW w:w="51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Соответствие</w:t>
            </w:r>
          </w:p>
        </w:tc>
        <w:tc>
          <w:tcPr>
            <w:tcW w:w="404"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 </w:t>
            </w:r>
          </w:p>
        </w:tc>
        <w:tc>
          <w:tcPr>
            <w:tcW w:w="445"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66" w:type="pct"/>
            <w:tcBorders>
              <w:top w:val="nil"/>
              <w:left w:val="single" w:sz="4" w:space="0" w:color="auto"/>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88"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40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6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4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32" w:type="pct"/>
            <w:tcBorders>
              <w:top w:val="nil"/>
              <w:left w:val="nil"/>
              <w:bottom w:val="nil"/>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r>
      <w:tr w:rsidR="00943450" w:rsidRPr="00943450" w:rsidTr="00943450">
        <w:trPr>
          <w:trHeight w:val="1290"/>
        </w:trPr>
        <w:tc>
          <w:tcPr>
            <w:tcW w:w="135" w:type="pct"/>
            <w:tcBorders>
              <w:top w:val="nil"/>
              <w:left w:val="single" w:sz="4" w:space="0" w:color="auto"/>
              <w:bottom w:val="single" w:sz="4" w:space="0" w:color="auto"/>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532" w:type="pct"/>
            <w:tcBorders>
              <w:top w:val="nil"/>
              <w:left w:val="nil"/>
              <w:bottom w:val="single" w:sz="4" w:space="0" w:color="auto"/>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345" w:type="pct"/>
            <w:tcBorders>
              <w:top w:val="nil"/>
              <w:left w:val="nil"/>
              <w:bottom w:val="single" w:sz="4" w:space="0" w:color="auto"/>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734" w:type="pct"/>
            <w:tcBorders>
              <w:top w:val="nil"/>
              <w:left w:val="single" w:sz="4" w:space="0" w:color="auto"/>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0000"/>
                <w:sz w:val="20"/>
                <w:szCs w:val="20"/>
                <w:lang w:eastAsia="ru-RU"/>
              </w:rPr>
            </w:pPr>
            <w:r w:rsidRPr="00943450">
              <w:rPr>
                <w:rFonts w:ascii="Times New Roman" w:eastAsia="Times New Roman" w:hAnsi="Times New Roman" w:cs="Times New Roman"/>
                <w:color w:val="000000"/>
                <w:sz w:val="20"/>
                <w:szCs w:val="20"/>
                <w:lang w:eastAsia="ru-RU"/>
              </w:rPr>
              <w:t>Размер пор фильтра вакуумного резервуара, микрон (для предотвращения эмболии воздушной, жировой, эмболии костными обломками и полиметилметакрилатом)</w:t>
            </w:r>
          </w:p>
        </w:tc>
        <w:tc>
          <w:tcPr>
            <w:tcW w:w="514" w:type="pct"/>
            <w:tcBorders>
              <w:top w:val="nil"/>
              <w:left w:val="nil"/>
              <w:bottom w:val="single" w:sz="4" w:space="0" w:color="auto"/>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120</w:t>
            </w:r>
          </w:p>
        </w:tc>
        <w:tc>
          <w:tcPr>
            <w:tcW w:w="404" w:type="pct"/>
            <w:tcBorders>
              <w:top w:val="nil"/>
              <w:left w:val="nil"/>
              <w:bottom w:val="single" w:sz="4" w:space="0" w:color="auto"/>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445" w:type="pct"/>
            <w:tcBorders>
              <w:top w:val="nil"/>
              <w:left w:val="nil"/>
              <w:bottom w:val="single" w:sz="4" w:space="0" w:color="auto"/>
              <w:right w:val="single" w:sz="4" w:space="0" w:color="auto"/>
            </w:tcBorders>
            <w:shd w:val="clear" w:color="auto" w:fill="auto"/>
            <w:vAlign w:val="bottom"/>
            <w:hideMark/>
          </w:tcPr>
          <w:p w:rsidR="00943450" w:rsidRPr="00943450" w:rsidRDefault="00943450" w:rsidP="00943450">
            <w:pPr>
              <w:spacing w:after="0" w:line="240" w:lineRule="auto"/>
              <w:rPr>
                <w:rFonts w:ascii="Times New Roman" w:eastAsia="Times New Roman" w:hAnsi="Times New Roman" w:cs="Times New Roman"/>
                <w:color w:val="00B0F0"/>
                <w:sz w:val="20"/>
                <w:szCs w:val="20"/>
                <w:lang w:eastAsia="ru-RU"/>
              </w:rPr>
            </w:pPr>
            <w:r w:rsidRPr="00943450">
              <w:rPr>
                <w:rFonts w:ascii="Times New Roman" w:eastAsia="Times New Roman" w:hAnsi="Times New Roman" w:cs="Times New Roman"/>
                <w:color w:val="00B0F0"/>
                <w:sz w:val="20"/>
                <w:szCs w:val="20"/>
                <w:lang w:eastAsia="ru-RU"/>
              </w:rPr>
              <w:t>Участник закупки указывает в заявке конкретное значение характеристики</w:t>
            </w:r>
          </w:p>
        </w:tc>
        <w:tc>
          <w:tcPr>
            <w:tcW w:w="466" w:type="pct"/>
            <w:tcBorders>
              <w:top w:val="nil"/>
              <w:left w:val="single" w:sz="4" w:space="0" w:color="auto"/>
              <w:bottom w:val="single" w:sz="4" w:space="0" w:color="auto"/>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88" w:type="pct"/>
            <w:tcBorders>
              <w:top w:val="nil"/>
              <w:left w:val="nil"/>
              <w:bottom w:val="single" w:sz="4" w:space="0" w:color="auto"/>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402" w:type="pct"/>
            <w:tcBorders>
              <w:top w:val="nil"/>
              <w:left w:val="nil"/>
              <w:bottom w:val="single" w:sz="4" w:space="0" w:color="auto"/>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62" w:type="pct"/>
            <w:tcBorders>
              <w:top w:val="nil"/>
              <w:left w:val="nil"/>
              <w:bottom w:val="single" w:sz="4" w:space="0" w:color="auto"/>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42" w:type="pct"/>
            <w:tcBorders>
              <w:top w:val="nil"/>
              <w:left w:val="nil"/>
              <w:bottom w:val="single" w:sz="4" w:space="0" w:color="auto"/>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c>
          <w:tcPr>
            <w:tcW w:w="232" w:type="pct"/>
            <w:tcBorders>
              <w:top w:val="nil"/>
              <w:left w:val="nil"/>
              <w:bottom w:val="single" w:sz="4" w:space="0" w:color="auto"/>
              <w:right w:val="single" w:sz="4" w:space="0" w:color="auto"/>
            </w:tcBorders>
            <w:shd w:val="clear" w:color="auto" w:fill="auto"/>
            <w:noWrap/>
            <w:vAlign w:val="bottom"/>
            <w:hideMark/>
          </w:tcPr>
          <w:p w:rsidR="00943450" w:rsidRPr="00943450" w:rsidRDefault="00943450" w:rsidP="00943450">
            <w:pPr>
              <w:spacing w:after="0" w:line="240" w:lineRule="auto"/>
              <w:rPr>
                <w:rFonts w:ascii="Calibri" w:eastAsia="Times New Roman" w:hAnsi="Calibri" w:cs="Times New Roman"/>
                <w:color w:val="000000"/>
                <w:lang w:eastAsia="ru-RU"/>
              </w:rPr>
            </w:pPr>
            <w:r w:rsidRPr="00943450">
              <w:rPr>
                <w:rFonts w:ascii="Calibri" w:eastAsia="Times New Roman" w:hAnsi="Calibri" w:cs="Times New Roman"/>
                <w:color w:val="000000"/>
                <w:lang w:eastAsia="ru-RU"/>
              </w:rPr>
              <w:t> </w:t>
            </w:r>
          </w:p>
        </w:tc>
      </w:tr>
    </w:tbl>
    <w:p w:rsidR="00943450" w:rsidRDefault="00943450" w:rsidP="00943450">
      <w:pPr>
        <w:autoSpaceDE w:val="0"/>
        <w:autoSpaceDN w:val="0"/>
        <w:adjustRightInd w:val="0"/>
        <w:rPr>
          <w:rFonts w:ascii="Times New Roman CYR" w:hAnsi="Times New Roman CYR" w:cs="Times New Roman CYR"/>
          <w:b/>
          <w:bCs/>
        </w:rPr>
      </w:pPr>
      <w:r>
        <w:rPr>
          <w:rFonts w:ascii="Times New Roman CYR" w:hAnsi="Times New Roman CYR" w:cs="Times New Roman CYR"/>
          <w:b/>
          <w:bCs/>
        </w:rPr>
        <w:t>**</w:t>
      </w:r>
      <w:r>
        <w:rPr>
          <w:rFonts w:ascii="Times New Roman CYR" w:hAnsi="Times New Roman CYR" w:cs="Times New Roman CYR"/>
          <w:b/>
          <w:bCs/>
          <w:i/>
          <w:iCs/>
        </w:rPr>
        <w:t>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r>
        <w:rPr>
          <w:rFonts w:ascii="Times New Roman CYR" w:hAnsi="Times New Roman CYR" w:cs="Times New Roman CYR"/>
          <w:b/>
          <w:bCs/>
        </w:rPr>
        <w:t xml:space="preserve"> </w:t>
      </w:r>
      <w:r w:rsidRPr="00943450">
        <w:rPr>
          <w:rFonts w:ascii="Roboto" w:hAnsi="Roboto" w:cs="Roboto"/>
          <w:color w:val="333333"/>
          <w:highlight w:val="white"/>
        </w:rPr>
        <w:t>(</w:t>
      </w:r>
      <w:hyperlink r:id="rId18" w:history="1">
        <w:r>
          <w:rPr>
            <w:rFonts w:ascii="Calibri" w:hAnsi="Calibri" w:cs="Calibri"/>
            <w:color w:val="0064E0"/>
            <w:highlight w:val="white"/>
            <w:u w:val="single"/>
          </w:rPr>
          <w:t>письмо</w:t>
        </w:r>
      </w:hyperlink>
      <w:r>
        <w:rPr>
          <w:rFonts w:ascii="Roboto" w:hAnsi="Roboto" w:cs="Roboto"/>
          <w:color w:val="333333"/>
          <w:highlight w:val="white"/>
          <w:lang w:val="en-US"/>
        </w:rPr>
        <w:t> </w:t>
      </w:r>
      <w:r>
        <w:rPr>
          <w:rFonts w:ascii="Calibri" w:hAnsi="Calibri" w:cs="Calibri"/>
          <w:color w:val="333333"/>
          <w:highlight w:val="white"/>
        </w:rPr>
        <w:t>Минфина</w:t>
      </w:r>
      <w:r w:rsidRPr="00943450">
        <w:rPr>
          <w:rFonts w:ascii="Roboto" w:hAnsi="Roboto" w:cs="Roboto"/>
          <w:color w:val="333333"/>
          <w:highlight w:val="white"/>
        </w:rPr>
        <w:t xml:space="preserve"> </w:t>
      </w:r>
      <w:r>
        <w:rPr>
          <w:rFonts w:ascii="Calibri" w:hAnsi="Calibri" w:cs="Calibri"/>
          <w:color w:val="333333"/>
          <w:highlight w:val="white"/>
        </w:rPr>
        <w:t>России</w:t>
      </w:r>
      <w:r w:rsidRPr="00943450">
        <w:rPr>
          <w:rFonts w:ascii="Roboto" w:hAnsi="Roboto" w:cs="Roboto"/>
          <w:color w:val="333333"/>
          <w:highlight w:val="white"/>
        </w:rPr>
        <w:t xml:space="preserve"> </w:t>
      </w:r>
      <w:r>
        <w:rPr>
          <w:rFonts w:ascii="Calibri" w:hAnsi="Calibri" w:cs="Calibri"/>
          <w:color w:val="333333"/>
          <w:highlight w:val="white"/>
        </w:rPr>
        <w:t>от</w:t>
      </w:r>
      <w:r w:rsidRPr="00943450">
        <w:rPr>
          <w:rFonts w:ascii="Roboto" w:hAnsi="Roboto" w:cs="Roboto"/>
          <w:color w:val="333333"/>
          <w:highlight w:val="white"/>
        </w:rPr>
        <w:t xml:space="preserve"> 24 </w:t>
      </w:r>
      <w:r>
        <w:rPr>
          <w:rFonts w:ascii="Calibri" w:hAnsi="Calibri" w:cs="Calibri"/>
          <w:color w:val="333333"/>
          <w:highlight w:val="white"/>
        </w:rPr>
        <w:t>января</w:t>
      </w:r>
      <w:r w:rsidRPr="00943450">
        <w:rPr>
          <w:rFonts w:ascii="Roboto" w:hAnsi="Roboto" w:cs="Roboto"/>
          <w:color w:val="333333"/>
          <w:highlight w:val="white"/>
        </w:rPr>
        <w:t xml:space="preserve"> 2022 </w:t>
      </w:r>
      <w:r>
        <w:rPr>
          <w:rFonts w:ascii="Calibri" w:hAnsi="Calibri" w:cs="Calibri"/>
          <w:color w:val="333333"/>
          <w:highlight w:val="white"/>
        </w:rPr>
        <w:t>г</w:t>
      </w:r>
      <w:r w:rsidRPr="00943450">
        <w:rPr>
          <w:rFonts w:ascii="Roboto" w:hAnsi="Roboto" w:cs="Roboto"/>
          <w:color w:val="333333"/>
          <w:highlight w:val="white"/>
        </w:rPr>
        <w:t xml:space="preserve">. </w:t>
      </w:r>
      <w:r>
        <w:rPr>
          <w:rFonts w:ascii="Roboto" w:hAnsi="Roboto" w:cs="Roboto"/>
          <w:color w:val="333333"/>
          <w:highlight w:val="white"/>
          <w:lang w:val="en-US"/>
        </w:rPr>
        <w:t>N</w:t>
      </w:r>
      <w:r w:rsidRPr="00943450">
        <w:rPr>
          <w:rFonts w:ascii="Roboto" w:hAnsi="Roboto" w:cs="Roboto"/>
          <w:color w:val="333333"/>
          <w:highlight w:val="white"/>
        </w:rPr>
        <w:t xml:space="preserve"> 24-03-08/4090)</w:t>
      </w:r>
    </w:p>
    <w:p w:rsidR="00170252" w:rsidRDefault="00170252" w:rsidP="000820E3">
      <w:pPr>
        <w:rPr>
          <w:rFonts w:ascii="Times New Roman" w:hAnsi="Times New Roman" w:cs="Times New Roman"/>
          <w:b/>
          <w:sz w:val="28"/>
          <w:szCs w:val="28"/>
        </w:rPr>
      </w:pPr>
    </w:p>
    <w:sectPr w:rsidR="00170252" w:rsidSect="00943450">
      <w:headerReference w:type="first" r:id="rId19"/>
      <w:footerReference w:type="first" r:id="rId20"/>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5AB" w:rsidRDefault="001D25AB">
      <w:pPr>
        <w:spacing w:after="0" w:line="240" w:lineRule="auto"/>
      </w:pPr>
      <w:r>
        <w:separator/>
      </w:r>
    </w:p>
  </w:endnote>
  <w:endnote w:type="continuationSeparator" w:id="0">
    <w:p w:rsidR="001D25AB" w:rsidRDefault="001D2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00000201" w:usb1="00000000" w:usb2="00000000" w:usb3="00000000" w:csb0="00000004" w:csb1="00000000"/>
  </w:font>
  <w:font w:name="Roboto">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A3FEC" w:rsidRDefault="00AA3FEC">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A3FEC">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A3FEC">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A3FEC">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A3FEC">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A3FEC">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943450">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5AB" w:rsidRDefault="001D25AB">
      <w:pPr>
        <w:spacing w:after="0" w:line="240" w:lineRule="auto"/>
      </w:pPr>
      <w:r>
        <w:separator/>
      </w:r>
    </w:p>
  </w:footnote>
  <w:footnote w:type="continuationSeparator" w:id="0">
    <w:p w:rsidR="001D25AB" w:rsidRDefault="001D25A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A3FEC" w:rsidRDefault="00AA3FEC">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A3FEC" w:rsidRDefault="00AA3FEC">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A3FEC" w:rsidRDefault="00AA3FEC">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D25AB"/>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43450"/>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A3FEC"/>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452402625">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minfin.gov.ru/ru/document/?id_4=13539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0F309-A406-4879-9762-F3A834820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1235</Words>
  <Characters>7040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2026-10-16T06:16:00Z</dcterms:created>
  <dcterms:modified xsi:type="dcterms:W3CDTF">2026-10-16T06:16:00Z</dcterms:modified>
</cp:coreProperties>
</file>