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13.10.2021 № 05-07/1076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90F3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онкоиммунологии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52503C" w:rsidRPr="00F0107A" w:rsidRDefault="0052503C" w:rsidP="0052503C">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52503C" w:rsidRDefault="0052503C" w:rsidP="0052503C">
      <w:pPr>
        <w:spacing w:after="0" w:line="240" w:lineRule="auto"/>
        <w:jc w:val="both"/>
        <w:rPr>
          <w:rFonts w:ascii="Times New Roman" w:hAnsi="Times New Roman"/>
          <w:color w:val="000000"/>
          <w:lang w:eastAsia="ru-RU"/>
        </w:rPr>
      </w:pPr>
    </w:p>
    <w:tbl>
      <w:tblPr>
        <w:tblW w:w="4922"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774"/>
        <w:gridCol w:w="5714"/>
        <w:gridCol w:w="709"/>
        <w:gridCol w:w="829"/>
        <w:gridCol w:w="1451"/>
        <w:gridCol w:w="1234"/>
        <w:gridCol w:w="689"/>
        <w:gridCol w:w="962"/>
        <w:gridCol w:w="920"/>
      </w:tblGrid>
      <w:tr w:rsidR="0052503C" w:rsidRPr="000E0FFD" w:rsidTr="00E529AF">
        <w:trPr>
          <w:trHeight w:val="20"/>
          <w:jc w:val="center"/>
        </w:trPr>
        <w:tc>
          <w:tcPr>
            <w:tcW w:w="582" w:type="dxa"/>
            <w:vAlign w:val="center"/>
            <w:hideMark/>
          </w:tcPr>
          <w:p w:rsidR="0052503C" w:rsidRPr="000E0FFD" w:rsidRDefault="0052503C" w:rsidP="00E529AF">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774" w:type="dxa"/>
            <w:vAlign w:val="center"/>
            <w:hideMark/>
          </w:tcPr>
          <w:p w:rsidR="0052503C" w:rsidRPr="008F2872" w:rsidRDefault="0052503C" w:rsidP="00E529AF">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714" w:type="dxa"/>
            <w:vAlign w:val="center"/>
            <w:hideMark/>
          </w:tcPr>
          <w:p w:rsidR="0052503C" w:rsidRPr="000E0FFD" w:rsidRDefault="0052503C" w:rsidP="00E529AF">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52503C" w:rsidRPr="000E0FFD" w:rsidRDefault="0052503C" w:rsidP="00E529AF">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29" w:type="dxa"/>
            <w:vAlign w:val="center"/>
          </w:tcPr>
          <w:p w:rsidR="0052503C" w:rsidRPr="000E0FFD" w:rsidRDefault="0052503C" w:rsidP="00E529AF">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51" w:type="dxa"/>
            <w:vAlign w:val="center"/>
          </w:tcPr>
          <w:p w:rsidR="0052503C" w:rsidRPr="000E0FFD" w:rsidRDefault="0052503C" w:rsidP="00E529AF">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34" w:type="dxa"/>
            <w:shd w:val="clear" w:color="auto" w:fill="FFFFCC"/>
            <w:vAlign w:val="center"/>
          </w:tcPr>
          <w:p w:rsidR="0052503C" w:rsidRPr="000E0FFD" w:rsidRDefault="0052503C" w:rsidP="00E529AF">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689" w:type="dxa"/>
            <w:shd w:val="clear" w:color="auto" w:fill="FFFFCC"/>
            <w:vAlign w:val="center"/>
          </w:tcPr>
          <w:p w:rsidR="0052503C" w:rsidRPr="00C2575C" w:rsidRDefault="0052503C" w:rsidP="00E529AF">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962" w:type="dxa"/>
            <w:shd w:val="clear" w:color="auto" w:fill="FFFFCC"/>
            <w:vAlign w:val="center"/>
          </w:tcPr>
          <w:p w:rsidR="0052503C" w:rsidRPr="00C2575C" w:rsidRDefault="0052503C" w:rsidP="00E529AF">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920" w:type="dxa"/>
            <w:shd w:val="clear" w:color="auto" w:fill="FFFFCC"/>
            <w:vAlign w:val="center"/>
          </w:tcPr>
          <w:p w:rsidR="0052503C" w:rsidRPr="00C2575C" w:rsidRDefault="0052503C" w:rsidP="00E529AF">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Набор цветных антител для ТБНК-иммунофенотипиро-вания</w:t>
            </w:r>
          </w:p>
        </w:tc>
        <w:tc>
          <w:tcPr>
            <w:tcW w:w="5714" w:type="dxa"/>
          </w:tcPr>
          <w:p w:rsidR="0052503C" w:rsidRPr="00660061" w:rsidRDefault="0052503C" w:rsidP="00E529AF">
            <w:pPr>
              <w:pStyle w:val="af7"/>
              <w:rPr>
                <w:rFonts w:ascii="Times New Roman" w:hAnsi="Times New Roman"/>
                <w:lang w:eastAsia="en-US"/>
              </w:rPr>
            </w:pPr>
            <w:r w:rsidRPr="00660061">
              <w:rPr>
                <w:rFonts w:ascii="Times New Roman" w:hAnsi="Times New Roman"/>
                <w:lang w:eastAsia="en-US"/>
              </w:rPr>
              <w:t>Набор 6-цветных моноклональных антител для ТБНК-иммунофенотипирования, с пробирками (одна пробирка на пациента). Набор должен включать:</w:t>
            </w:r>
          </w:p>
          <w:p w:rsidR="0052503C" w:rsidRPr="00660061" w:rsidRDefault="0052503C" w:rsidP="0052503C">
            <w:pPr>
              <w:pStyle w:val="af7"/>
              <w:numPr>
                <w:ilvl w:val="0"/>
                <w:numId w:val="21"/>
              </w:numPr>
              <w:ind w:left="176" w:firstLine="0"/>
              <w:rPr>
                <w:rFonts w:ascii="Times New Roman" w:hAnsi="Times New Roman"/>
                <w:lang w:eastAsia="en-US"/>
              </w:rPr>
            </w:pPr>
            <w:r w:rsidRPr="00660061">
              <w:rPr>
                <w:rFonts w:ascii="Times New Roman" w:hAnsi="Times New Roman"/>
                <w:lang w:eastAsia="en-US"/>
              </w:rPr>
              <w:t>6-цветные моноклональные антитела CD3/CD8/CD45/CD4/CD16+CD56/CD19 с флуорохромами FITC, PE, PerCP-Cy5.5, PE-Cy7, APC, APC-Cy7, клоны: SK7/B73.1 и NCAM16.2/2D1(HLe-1)/SK3/SJ25C1/SK1 в забуференном растворе, содержащем 0,1% азида натрия;</w:t>
            </w:r>
          </w:p>
          <w:p w:rsidR="0052503C" w:rsidRPr="00660061" w:rsidRDefault="0052503C" w:rsidP="0052503C">
            <w:pPr>
              <w:pStyle w:val="af7"/>
              <w:numPr>
                <w:ilvl w:val="0"/>
                <w:numId w:val="21"/>
              </w:numPr>
              <w:ind w:left="176" w:firstLine="0"/>
              <w:rPr>
                <w:rFonts w:ascii="Times New Roman" w:hAnsi="Times New Roman"/>
                <w:lang w:eastAsia="en-US"/>
              </w:rPr>
            </w:pPr>
            <w:r w:rsidRPr="00660061">
              <w:rPr>
                <w:rFonts w:ascii="Times New Roman" w:hAnsi="Times New Roman"/>
                <w:lang w:eastAsia="en-US"/>
              </w:rPr>
              <w:t>пробирки для подсчета абсолютных значений субпопуляций лимфоцитов с определенным числом референсных частиц – не менее 50 шт.</w:t>
            </w:r>
          </w:p>
          <w:p w:rsidR="0052503C" w:rsidRPr="00660061" w:rsidRDefault="0052503C" w:rsidP="00E529AF">
            <w:pPr>
              <w:pStyle w:val="af7"/>
              <w:rPr>
                <w:rFonts w:ascii="Times New Roman" w:hAnsi="Times New Roman"/>
                <w:lang w:eastAsia="en-US"/>
              </w:rPr>
            </w:pPr>
            <w:r w:rsidRPr="00660061">
              <w:rPr>
                <w:rFonts w:ascii="Times New Roman" w:hAnsi="Times New Roman"/>
                <w:lang w:eastAsia="en-US"/>
              </w:rPr>
              <w:t>Для проточной цитометрии. Должен быть валидирован для использования с проточным цитофлуориметром BD FACSCanto II, имеющимся у Заказчика, в соответствии с инструкцией по эксплуатации указанного оборудования.</w:t>
            </w:r>
          </w:p>
          <w:p w:rsidR="0052503C" w:rsidRPr="00660061" w:rsidRDefault="0052503C" w:rsidP="00E529AF">
            <w:pPr>
              <w:pStyle w:val="af7"/>
              <w:rPr>
                <w:rFonts w:ascii="Times New Roman" w:hAnsi="Times New Roman"/>
                <w:lang w:eastAsia="en-US"/>
              </w:rPr>
            </w:pPr>
            <w:r w:rsidRPr="00660061">
              <w:rPr>
                <w:rFonts w:ascii="Times New Roman" w:hAnsi="Times New Roman"/>
                <w:lang w:eastAsia="en-US"/>
              </w:rPr>
              <w:t>Количество выполняемых тестов: не менее 50 штук.</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набор</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52503C">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Двухцветные антитела, меченые ФИТЦ и фикоэритрином, к антигену дифференцировки 45 и  антигену дифференцировки 34</w:t>
            </w:r>
          </w:p>
        </w:tc>
        <w:tc>
          <w:tcPr>
            <w:tcW w:w="5714" w:type="dxa"/>
          </w:tcPr>
          <w:p w:rsidR="0052503C" w:rsidRPr="00660061" w:rsidRDefault="0052503C" w:rsidP="00E529AF">
            <w:pPr>
              <w:pStyle w:val="af7"/>
              <w:rPr>
                <w:rFonts w:ascii="Times New Roman" w:hAnsi="Times New Roman"/>
                <w:lang w:eastAsia="en-US"/>
              </w:rPr>
            </w:pPr>
            <w:r w:rsidRPr="00660061">
              <w:rPr>
                <w:rFonts w:ascii="Times New Roman" w:hAnsi="Times New Roman"/>
                <w:lang w:eastAsia="en-US"/>
              </w:rPr>
              <w:t>Двухцветные моноклональные антитела: к антигену дифференцировки 45 (CD45), клон 2D1, меченые флуорохромом FITC (ФИТЦ), и антигену дифференцировки 34 (CD34), клон 8G12, меченые флуорохромом РЕ (фикоэритрин).</w:t>
            </w:r>
          </w:p>
          <w:p w:rsidR="0052503C" w:rsidRPr="00660061" w:rsidRDefault="0052503C" w:rsidP="00E529AF">
            <w:pPr>
              <w:pStyle w:val="af7"/>
              <w:rPr>
                <w:rFonts w:ascii="Times New Roman" w:hAnsi="Times New Roman"/>
                <w:lang w:eastAsia="en-US"/>
              </w:rPr>
            </w:pPr>
            <w:r w:rsidRPr="00660061">
              <w:rPr>
                <w:rFonts w:ascii="Times New Roman" w:hAnsi="Times New Roman"/>
                <w:lang w:eastAsia="en-US"/>
              </w:rPr>
              <w:t>Изотип: Mouse IgG1,κ.</w:t>
            </w:r>
          </w:p>
          <w:p w:rsidR="0052503C" w:rsidRPr="00660061" w:rsidRDefault="0052503C" w:rsidP="00E529AF">
            <w:pPr>
              <w:pStyle w:val="af7"/>
              <w:rPr>
                <w:rFonts w:ascii="Times New Roman" w:hAnsi="Times New Roman"/>
                <w:lang w:eastAsia="en-US"/>
              </w:rPr>
            </w:pPr>
            <w:r w:rsidRPr="00660061">
              <w:rPr>
                <w:rFonts w:ascii="Times New Roman" w:hAnsi="Times New Roman"/>
                <w:lang w:eastAsia="en-US"/>
              </w:rPr>
              <w:t>Состав: антитела в фосфатном буферном растворе, содержащем БСА и 0,1% азида натрия. Стабильность рабочего реактива: до срока, указанного на этикетке. Для проточной цитометрии. Должны быть валидированы для использования с проточным цитофлуориметром BD FACSCanto II, имеющимся у Заказчика.</w:t>
            </w:r>
          </w:p>
          <w:p w:rsidR="0052503C" w:rsidRPr="00660061" w:rsidRDefault="0052503C" w:rsidP="00E529AF">
            <w:pPr>
              <w:pStyle w:val="af7"/>
              <w:rPr>
                <w:rFonts w:ascii="Times New Roman" w:hAnsi="Times New Roman"/>
                <w:lang w:eastAsia="en-US"/>
              </w:rPr>
            </w:pPr>
            <w:r w:rsidRPr="00660061">
              <w:rPr>
                <w:rFonts w:ascii="Times New Roman" w:hAnsi="Times New Roman"/>
                <w:lang w:eastAsia="en-US"/>
              </w:rPr>
              <w:t>Количество выполняемых тестов: не менее 50 штук.</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CD45 общий лейкоцитарный антиген клеточный маркер ИВД, антитела</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Назначение: Для анализаторов открытого типа и ручной постановки.</w:t>
            </w:r>
          </w:p>
          <w:p w:rsidR="0052503C" w:rsidRPr="00660061" w:rsidRDefault="0052503C" w:rsidP="00E529AF">
            <w:pPr>
              <w:spacing w:after="0" w:line="240" w:lineRule="auto"/>
              <w:rPr>
                <w:rFonts w:ascii="Times New Roman" w:hAnsi="Times New Roman"/>
              </w:rPr>
            </w:pPr>
            <w:r w:rsidRPr="00660061">
              <w:rPr>
                <w:rFonts w:ascii="Times New Roman" w:hAnsi="Times New Roman"/>
              </w:rPr>
              <w:t>Количество выполняемых тестов: ≥ 100  штук.</w:t>
            </w:r>
          </w:p>
          <w:p w:rsidR="0052503C" w:rsidRPr="00660061" w:rsidRDefault="0052503C" w:rsidP="00E529AF">
            <w:pPr>
              <w:spacing w:after="0" w:line="240" w:lineRule="auto"/>
              <w:rPr>
                <w:rFonts w:ascii="Times New Roman" w:hAnsi="Times New Roman"/>
              </w:rPr>
            </w:pPr>
            <w:r w:rsidRPr="00660061">
              <w:rPr>
                <w:rFonts w:ascii="Times New Roman" w:hAnsi="Times New Roman"/>
              </w:rPr>
              <w:t>Дополнительные (уточняющие) характеристики*:</w:t>
            </w:r>
          </w:p>
          <w:p w:rsidR="0052503C" w:rsidRPr="00660061" w:rsidRDefault="0052503C" w:rsidP="00E529AF">
            <w:pPr>
              <w:spacing w:after="0" w:line="240" w:lineRule="auto"/>
              <w:rPr>
                <w:rFonts w:ascii="Times New Roman" w:hAnsi="Times New Roman"/>
              </w:rPr>
            </w:pPr>
            <w:r w:rsidRPr="00660061">
              <w:rPr>
                <w:rFonts w:ascii="Times New Roman" w:hAnsi="Times New Roman"/>
              </w:rPr>
              <w:t>Для проточной цитометрии.</w:t>
            </w:r>
          </w:p>
          <w:p w:rsidR="0052503C" w:rsidRPr="00660061" w:rsidRDefault="0052503C" w:rsidP="00E529AF">
            <w:pPr>
              <w:spacing w:after="0" w:line="240" w:lineRule="auto"/>
              <w:rPr>
                <w:rFonts w:ascii="Times New Roman" w:hAnsi="Times New Roman"/>
              </w:rPr>
            </w:pPr>
            <w:r w:rsidRPr="00660061">
              <w:rPr>
                <w:rFonts w:ascii="Times New Roman" w:hAnsi="Times New Roman"/>
              </w:rPr>
              <w:t>Флуорохром: APC-Cy7 (АФЦ-Сай-7).</w:t>
            </w:r>
          </w:p>
          <w:p w:rsidR="0052503C" w:rsidRPr="0052503C" w:rsidRDefault="0052503C" w:rsidP="00E529AF">
            <w:pPr>
              <w:spacing w:after="0" w:line="240" w:lineRule="auto"/>
              <w:rPr>
                <w:rFonts w:ascii="Times New Roman" w:hAnsi="Times New Roman"/>
                <w:lang w:val="en-US"/>
              </w:rPr>
            </w:pPr>
            <w:r w:rsidRPr="00660061">
              <w:rPr>
                <w:rFonts w:ascii="Times New Roman" w:hAnsi="Times New Roman"/>
              </w:rPr>
              <w:t>Клон</w:t>
            </w:r>
            <w:r w:rsidRPr="0052503C">
              <w:rPr>
                <w:rFonts w:ascii="Times New Roman" w:hAnsi="Times New Roman"/>
                <w:lang w:val="en-US"/>
              </w:rPr>
              <w:t>: 2D1.</w:t>
            </w:r>
          </w:p>
          <w:p w:rsidR="0052503C" w:rsidRPr="0052503C" w:rsidRDefault="0052503C" w:rsidP="00E529AF">
            <w:pPr>
              <w:spacing w:after="0" w:line="240" w:lineRule="auto"/>
              <w:rPr>
                <w:rFonts w:ascii="Times New Roman" w:hAnsi="Times New Roman"/>
                <w:lang w:val="en-US"/>
              </w:rPr>
            </w:pPr>
            <w:r w:rsidRPr="00660061">
              <w:rPr>
                <w:rFonts w:ascii="Times New Roman" w:hAnsi="Times New Roman"/>
              </w:rPr>
              <w:t>Изотип</w:t>
            </w:r>
            <w:r w:rsidRPr="0052503C">
              <w:rPr>
                <w:rFonts w:ascii="Times New Roman" w:hAnsi="Times New Roman"/>
                <w:lang w:val="en-US"/>
              </w:rPr>
              <w:t>: Mouse IgG1,</w:t>
            </w:r>
            <w:r w:rsidRPr="00660061">
              <w:rPr>
                <w:rFonts w:ascii="Times New Roman" w:hAnsi="Times New Roman"/>
              </w:rPr>
              <w:t>κ</w:t>
            </w:r>
            <w:r w:rsidRPr="0052503C">
              <w:rPr>
                <w:rFonts w:ascii="Times New Roman" w:hAnsi="Times New Roman"/>
                <w:lang w:val="en-US"/>
              </w:rPr>
              <w:t>.</w:t>
            </w:r>
          </w:p>
          <w:p w:rsidR="0052503C" w:rsidRPr="00660061" w:rsidRDefault="0052503C" w:rsidP="00E529AF">
            <w:pPr>
              <w:spacing w:after="0" w:line="240" w:lineRule="auto"/>
              <w:rPr>
                <w:rFonts w:ascii="Times New Roman" w:hAnsi="Times New Roman"/>
              </w:rPr>
            </w:pPr>
            <w:r w:rsidRPr="00660061">
              <w:rPr>
                <w:rFonts w:ascii="Times New Roman" w:hAnsi="Times New Roman"/>
              </w:rPr>
              <w:t>Должны быть валидированы для использования с проточным цитофлуориметром BD FACSCanto II, имеющимся у Заказчика.</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набор</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21.20.23.110-00001818</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Антитела к антигену дифференцировки 3, меченые APC</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Моноклональные антитела к антигену дифференцировки 3 (CD3), меченые флуорохромом АРС (аллофикацианин). Клон SK7, изотип: Mouse IgG1,κ.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52503C" w:rsidRPr="00660061" w:rsidRDefault="0052503C" w:rsidP="00E529AF">
            <w:pPr>
              <w:spacing w:after="0" w:line="240" w:lineRule="auto"/>
              <w:rPr>
                <w:rFonts w:ascii="Times New Roman" w:hAnsi="Times New Roman"/>
              </w:rPr>
            </w:pPr>
            <w:r w:rsidRPr="00660061">
              <w:rPr>
                <w:rFonts w:ascii="Times New Roman" w:hAnsi="Times New Roman"/>
              </w:rPr>
              <w:t>Для проточной цитометрии. Должны быть валидированы для использования с проточным цитофлуориметром BD FACSCanto II, имеющимся у Заказчика.</w:t>
            </w:r>
          </w:p>
          <w:p w:rsidR="0052503C" w:rsidRPr="00660061" w:rsidRDefault="0052503C" w:rsidP="00E529AF">
            <w:pPr>
              <w:spacing w:after="0" w:line="240" w:lineRule="auto"/>
              <w:rPr>
                <w:rFonts w:ascii="Times New Roman" w:hAnsi="Times New Roman"/>
              </w:rPr>
            </w:pPr>
            <w:r w:rsidRPr="00660061">
              <w:rPr>
                <w:rFonts w:ascii="Times New Roman" w:hAnsi="Times New Roman"/>
              </w:rPr>
              <w:t>Количество выполняемых тестов: не менее 100 штук.</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Антитела к антигену дифференцировки 4, меченые PerCP-Cy5.5</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Моноклональные антитела к антигену дифференцировки 4 (CD4), меченые флуорохромом PerCP-Cy5.5. Клон SK3, изотип: Mouse IgG1,κ.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52503C" w:rsidRPr="00660061" w:rsidRDefault="0052503C" w:rsidP="00E529AF">
            <w:pPr>
              <w:spacing w:after="0" w:line="240" w:lineRule="auto"/>
              <w:rPr>
                <w:rFonts w:ascii="Times New Roman" w:hAnsi="Times New Roman"/>
              </w:rPr>
            </w:pPr>
            <w:r w:rsidRPr="00660061">
              <w:rPr>
                <w:rFonts w:ascii="Times New Roman" w:hAnsi="Times New Roman"/>
              </w:rPr>
              <w:t>Для проточной цитометрии. Должны быть валидированы для использования с проточным цитофлуориметром BD FACSCanto II, имеющимся у Заказчика.</w:t>
            </w:r>
          </w:p>
          <w:p w:rsidR="0052503C" w:rsidRPr="00660061" w:rsidRDefault="0052503C" w:rsidP="00E529AF">
            <w:pPr>
              <w:spacing w:after="0" w:line="240" w:lineRule="auto"/>
              <w:rPr>
                <w:rFonts w:ascii="Times New Roman" w:hAnsi="Times New Roman"/>
              </w:rPr>
            </w:pPr>
            <w:r w:rsidRPr="00660061">
              <w:rPr>
                <w:rFonts w:ascii="Times New Roman" w:hAnsi="Times New Roman"/>
              </w:rPr>
              <w:t>Количество выполняемых тестов: не менее 50 штук.</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Антитела к антигену дифференцировки 25, меченые FITC</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Моноклональные антитела к антигену дифференцировки 25 (CD25), меченые флуорохромом FITC (ФИТЦ). Клон M-A251, изотип: Mouse IgG1,κ. Состав: антитела в забуференном водном растворе, содержащем БСА и 0,09% азида натрия. Стабильность рабочего реактива: до срока, указанного на этикетке.</w:t>
            </w:r>
          </w:p>
          <w:p w:rsidR="0052503C" w:rsidRPr="00660061" w:rsidRDefault="0052503C" w:rsidP="00E529AF">
            <w:pPr>
              <w:spacing w:after="0" w:line="240" w:lineRule="auto"/>
              <w:rPr>
                <w:rFonts w:ascii="Times New Roman" w:hAnsi="Times New Roman"/>
              </w:rPr>
            </w:pPr>
            <w:r w:rsidRPr="00660061">
              <w:rPr>
                <w:rFonts w:ascii="Times New Roman" w:hAnsi="Times New Roman"/>
              </w:rPr>
              <w:t>Для проточной цитометрии. Должны быть валидированы для использования с проточным цитофлуориметром BD FACSCanto II, имеющимся у Заказчика.</w:t>
            </w:r>
          </w:p>
          <w:p w:rsidR="0052503C" w:rsidRPr="00660061" w:rsidRDefault="0052503C" w:rsidP="00E529AF">
            <w:pPr>
              <w:spacing w:after="0" w:line="240" w:lineRule="auto"/>
              <w:rPr>
                <w:rFonts w:ascii="Times New Roman" w:hAnsi="Times New Roman"/>
              </w:rPr>
            </w:pPr>
            <w:r w:rsidRPr="00660061">
              <w:rPr>
                <w:rFonts w:ascii="Times New Roman" w:hAnsi="Times New Roman"/>
              </w:rPr>
              <w:t>Количество выполняемых тестов: не менее 100 штук.</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Раствор для отмывки клеток</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Готовый к использованию раствор для разбавления клеточной суспензии. Оптимизированный раствор фосфатно-солевого буфера для подготовки и отмывки клеточной суспензии перед проведением исследований. Стабильность рабочего реактива: до срока, указанного на этикетке.</w:t>
            </w:r>
          </w:p>
          <w:p w:rsidR="0052503C" w:rsidRPr="00660061" w:rsidRDefault="0052503C" w:rsidP="00E529AF">
            <w:pPr>
              <w:spacing w:after="0" w:line="240" w:lineRule="auto"/>
              <w:rPr>
                <w:rFonts w:ascii="Times New Roman" w:hAnsi="Times New Roman"/>
              </w:rPr>
            </w:pPr>
            <w:r w:rsidRPr="00660061">
              <w:rPr>
                <w:rFonts w:ascii="Times New Roman" w:hAnsi="Times New Roman"/>
              </w:rPr>
              <w:t>Для проточной цитометрии. 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52503C" w:rsidRPr="00660061" w:rsidRDefault="0052503C" w:rsidP="00E529AF">
            <w:pPr>
              <w:spacing w:after="0" w:line="240" w:lineRule="auto"/>
              <w:rPr>
                <w:rFonts w:ascii="Times New Roman" w:hAnsi="Times New Roman"/>
              </w:rPr>
            </w:pPr>
            <w:r w:rsidRPr="00660061">
              <w:rPr>
                <w:rFonts w:ascii="Times New Roman" w:hAnsi="Times New Roman"/>
              </w:rPr>
              <w:t>Упаковка: пластиковая канистра с винтовой пробкой, в картонной коробке. Объём канистры: не менее 5 л.</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3</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Проточная жидкость для цитометрии</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Готовый к использованию ультрачистый (профильтрованный 0,1 мкм) рабочий раствор, предназначенный для проточного цитометра. Состав: вода, хлорид натрия, хлорид калия, фосфат калия, фосфат натрия, ЭДТА, консервант. Стабильность рабочего реактива: до срока, указанного на этикетке. 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52503C" w:rsidRPr="00660061" w:rsidRDefault="0052503C" w:rsidP="00E529AF">
            <w:pPr>
              <w:spacing w:after="0" w:line="240" w:lineRule="auto"/>
              <w:rPr>
                <w:rFonts w:ascii="Times New Roman" w:hAnsi="Times New Roman"/>
              </w:rPr>
            </w:pPr>
            <w:r w:rsidRPr="00660061">
              <w:rPr>
                <w:rFonts w:ascii="Times New Roman" w:hAnsi="Times New Roman"/>
              </w:rPr>
              <w:t>Упаковка: полиэтиленовая канистра с винтовой пробкой, в картонной коробке. Объём канистры: не менее 20 л.</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3</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Промывочный раствор</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Готовый к использованию деконтаминационный раствор для обеззараживания и промывки проточного цитометра. Состав: раствор 1-5 % гипохлорида натрия и 0,5-1,5 % гидроксида натрия в дистиллированной воде. Стабильность рабочего реактива: до срока, указанного на этикетке. 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52503C" w:rsidRPr="00660061" w:rsidRDefault="0052503C" w:rsidP="00E529AF">
            <w:pPr>
              <w:spacing w:after="0" w:line="240" w:lineRule="auto"/>
              <w:rPr>
                <w:rFonts w:ascii="Times New Roman" w:hAnsi="Times New Roman"/>
              </w:rPr>
            </w:pPr>
            <w:r w:rsidRPr="00660061">
              <w:rPr>
                <w:rFonts w:ascii="Times New Roman" w:hAnsi="Times New Roman"/>
              </w:rPr>
              <w:t>Упаковка: пластиковая канистра с винтовой пробкой, в картонной коробке. Объём канистры: не менее 5 л.</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5</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Раствор для выключения проточного цитометра</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Готовый к использованию раствор для выключения и консервации проточного цитометра. Состав: вода, ЭДТА, консервант 2-феноксиэтанол. Стабильность рабочего реактива: до срока, указанного на этикетке. 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52503C" w:rsidRPr="00660061" w:rsidRDefault="0052503C" w:rsidP="00E529AF">
            <w:pPr>
              <w:spacing w:after="0" w:line="240" w:lineRule="auto"/>
              <w:rPr>
                <w:rFonts w:ascii="Times New Roman" w:hAnsi="Times New Roman"/>
              </w:rPr>
            </w:pPr>
            <w:r w:rsidRPr="00660061">
              <w:rPr>
                <w:rFonts w:ascii="Times New Roman" w:hAnsi="Times New Roman"/>
              </w:rPr>
              <w:t>Упаковка: пластиковая канистра с винтовой пробкой, в картонной коробке. Объём канистры: не менее 5 л.</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1</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r w:rsidR="0052503C" w:rsidRPr="000E0FFD" w:rsidTr="00E529AF">
        <w:trPr>
          <w:trHeight w:val="20"/>
          <w:jc w:val="center"/>
        </w:trPr>
        <w:tc>
          <w:tcPr>
            <w:tcW w:w="582" w:type="dxa"/>
          </w:tcPr>
          <w:p w:rsidR="0052503C" w:rsidRPr="000E0FFD" w:rsidRDefault="0052503C" w:rsidP="0052503C">
            <w:pPr>
              <w:pStyle w:val="a7"/>
              <w:numPr>
                <w:ilvl w:val="0"/>
                <w:numId w:val="20"/>
              </w:numPr>
              <w:spacing w:after="0" w:line="240" w:lineRule="auto"/>
              <w:ind w:left="139" w:hanging="283"/>
              <w:jc w:val="center"/>
              <w:rPr>
                <w:rFonts w:ascii="Times New Roman" w:hAnsi="Times New Roman"/>
                <w:lang w:eastAsia="ru-RU"/>
              </w:rPr>
            </w:pPr>
          </w:p>
        </w:tc>
        <w:tc>
          <w:tcPr>
            <w:tcW w:w="177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Лизирующий раствор для проточной цитометрии</w:t>
            </w:r>
          </w:p>
        </w:tc>
        <w:tc>
          <w:tcPr>
            <w:tcW w:w="5714" w:type="dxa"/>
          </w:tcPr>
          <w:p w:rsidR="0052503C" w:rsidRPr="00660061" w:rsidRDefault="0052503C" w:rsidP="00E529AF">
            <w:pPr>
              <w:spacing w:after="0" w:line="240" w:lineRule="auto"/>
              <w:rPr>
                <w:rFonts w:ascii="Times New Roman" w:hAnsi="Times New Roman"/>
              </w:rPr>
            </w:pPr>
            <w:r w:rsidRPr="00660061">
              <w:rPr>
                <w:rFonts w:ascii="Times New Roman" w:hAnsi="Times New Roman"/>
              </w:rPr>
              <w:t>Реагент для лизиса эритроцитов и фиксации лейкоцитов при проведении цитометрического исследования. Состав: диэтиленгликоль, формальдегид в забуференном растворе. 10-тикратный концентрат. Стабильность рабочего реактива: до срока, указанного на этикетке. 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52503C" w:rsidRPr="00660061" w:rsidRDefault="0052503C" w:rsidP="00E529AF">
            <w:pPr>
              <w:spacing w:after="0" w:line="240" w:lineRule="auto"/>
              <w:rPr>
                <w:rFonts w:ascii="Times New Roman" w:hAnsi="Times New Roman"/>
              </w:rPr>
            </w:pPr>
            <w:r w:rsidRPr="00660061">
              <w:rPr>
                <w:rFonts w:ascii="Times New Roman" w:hAnsi="Times New Roman"/>
              </w:rPr>
              <w:t>Упаковка: пластиковый флакон с завинчивающейся крышкой, в картонной коробке. Объём флакона: не менее 100 мл.</w:t>
            </w:r>
          </w:p>
        </w:tc>
        <w:tc>
          <w:tcPr>
            <w:tcW w:w="70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4</w:t>
            </w:r>
          </w:p>
        </w:tc>
        <w:tc>
          <w:tcPr>
            <w:tcW w:w="829"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упак</w:t>
            </w:r>
          </w:p>
        </w:tc>
        <w:tc>
          <w:tcPr>
            <w:tcW w:w="1451" w:type="dxa"/>
          </w:tcPr>
          <w:p w:rsidR="0052503C" w:rsidRPr="00660061" w:rsidRDefault="0052503C" w:rsidP="00E529AF">
            <w:pPr>
              <w:spacing w:after="0" w:line="240" w:lineRule="auto"/>
              <w:jc w:val="center"/>
              <w:rPr>
                <w:rFonts w:ascii="Times New Roman" w:hAnsi="Times New Roman"/>
                <w:lang w:eastAsia="ru-RU"/>
              </w:rPr>
            </w:pPr>
            <w:r w:rsidRPr="00660061">
              <w:rPr>
                <w:rFonts w:ascii="Times New Roman" w:hAnsi="Times New Roman"/>
                <w:lang w:eastAsia="ru-RU"/>
              </w:rPr>
              <w:t>21.20.23.110</w:t>
            </w:r>
          </w:p>
        </w:tc>
        <w:tc>
          <w:tcPr>
            <w:tcW w:w="1234"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689"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62"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c>
          <w:tcPr>
            <w:tcW w:w="920" w:type="dxa"/>
            <w:shd w:val="clear" w:color="auto" w:fill="FFFFCC"/>
          </w:tcPr>
          <w:p w:rsidR="0052503C" w:rsidRPr="000E0FFD" w:rsidRDefault="0052503C" w:rsidP="00E529AF">
            <w:pPr>
              <w:spacing w:after="0" w:line="240" w:lineRule="auto"/>
              <w:jc w:val="center"/>
              <w:rPr>
                <w:rFonts w:ascii="Times New Roman" w:hAnsi="Times New Roman"/>
                <w:lang w:eastAsia="ru-RU"/>
              </w:rPr>
            </w:pPr>
          </w:p>
        </w:tc>
      </w:tr>
    </w:tbl>
    <w:p w:rsidR="00170252" w:rsidRDefault="0052503C" w:rsidP="0052503C">
      <w:pPr>
        <w:ind w:firstLine="709"/>
        <w:jc w:val="both"/>
        <w:rPr>
          <w:rFonts w:ascii="Times New Roman" w:hAnsi="Times New Roman" w:cs="Times New Roman"/>
          <w:b/>
          <w:sz w:val="28"/>
          <w:szCs w:val="28"/>
        </w:rPr>
      </w:pPr>
      <w:r w:rsidRPr="00660061">
        <w:rPr>
          <w:rFonts w:ascii="Times New Roman" w:hAnsi="Times New Roman"/>
          <w:i/>
          <w:sz w:val="24"/>
          <w:szCs w:val="24"/>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r>
        <w:rPr>
          <w:rFonts w:ascii="Times New Roman" w:hAnsi="Times New Roman"/>
          <w:i/>
          <w:sz w:val="24"/>
          <w:szCs w:val="24"/>
        </w:rPr>
        <w:t>.</w:t>
      </w:r>
    </w:p>
    <w:sectPr w:rsidR="00170252" w:rsidSect="00C2575C">
      <w:headerReference w:type="first" r:id="rId19"/>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B6" w:rsidRDefault="00132DB6">
      <w:pPr>
        <w:spacing w:after="0" w:line="240" w:lineRule="auto"/>
      </w:pPr>
      <w:r>
        <w:separator/>
      </w:r>
    </w:p>
  </w:endnote>
  <w:endnote w:type="continuationSeparator" w:id="0">
    <w:p w:rsidR="00132DB6" w:rsidRDefault="0013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0F3A" w:rsidRDefault="00B90F3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90F3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90F3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90F3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90F3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B6" w:rsidRDefault="00132DB6">
      <w:pPr>
        <w:spacing w:after="0" w:line="240" w:lineRule="auto"/>
      </w:pPr>
      <w:r>
        <w:separator/>
      </w:r>
    </w:p>
  </w:footnote>
  <w:footnote w:type="continuationSeparator" w:id="0">
    <w:p w:rsidR="00132DB6" w:rsidRDefault="00132DB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0F3A" w:rsidRDefault="00B90F3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0F3A" w:rsidRDefault="00B90F3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0F3A" w:rsidRDefault="00B90F3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22CB" w:rsidRDefault="00B90F3A"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966AF9"/>
    <w:multiLevelType w:val="hybridMultilevel"/>
    <w:tmpl w:val="A6C201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20"/>
  </w:num>
  <w:num w:numId="12">
    <w:abstractNumId w:val="9"/>
  </w:num>
  <w:num w:numId="13">
    <w:abstractNumId w:val="4"/>
  </w:num>
  <w:num w:numId="14">
    <w:abstractNumId w:val="8"/>
  </w:num>
  <w:num w:numId="15">
    <w:abstractNumId w:val="19"/>
  </w:num>
  <w:num w:numId="16">
    <w:abstractNumId w:val="13"/>
  </w:num>
  <w:num w:numId="17">
    <w:abstractNumId w:val="7"/>
  </w:num>
  <w:num w:numId="18">
    <w:abstractNumId w:val="6"/>
  </w:num>
  <w:num w:numId="19">
    <w:abstractNumId w:val="15"/>
  </w:num>
  <w:num w:numId="20">
    <w:abstractNumId w:val="12"/>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2DB6"/>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503C"/>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0F3A"/>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23C1-E320-470C-9B10-D39821D1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2021-10-12T14:10:00Z</dcterms:created>
  <dcterms:modified xsi:type="dcterms:W3CDTF">2021-10-12T14:10:00Z</dcterms:modified>
</cp:coreProperties>
</file>