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14.10.2021 № 05-07/1095</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20.10.2021</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071BB">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54"/>
        <w:gridCol w:w="874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Ритуксимаб</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25.12.2021</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6972FA" w:rsidP="00510F2D">
            <w:pPr>
              <w:ind w:right="-1"/>
              <w:jc w:val="both"/>
              <w:rPr>
                <w:rFonts w:ascii="Times New Roman" w:hAnsi="Times New Roman" w:cs="Times New Roman"/>
                <w:sz w:val="24"/>
                <w:szCs w:val="24"/>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В течение 5 (пяти) рабочих дней с момента заключения Контракта. </w:t>
            </w:r>
            <w:r w:rsidRPr="001347C5">
              <w:rPr>
                <w:rFonts w:ascii="Times New Roman" w:hAnsi="Times New Roman"/>
                <w:sz w:val="24"/>
                <w:szCs w:val="24"/>
              </w:rPr>
              <w:br/>
            </w:r>
            <w:r w:rsidRPr="001347C5">
              <w:rPr>
                <w:rFonts w:ascii="Times New Roman" w:hAnsi="Times New Roman"/>
                <w:sz w:val="24"/>
                <w:szCs w:val="24"/>
              </w:rPr>
              <w:fldChar w:fldCharType="end"/>
            </w:r>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1"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5 (пяти) рабочих дней с момента заключения Контракта. 
                <w:br/>
              </w:t>
            </w:r>
            <w:r w:rsidRPr="001347C5">
              <w:rPr>
                <w:rFonts w:ascii="Times New Roman" w:hAnsi="Times New Roman"/>
                <w:sz w:val="24"/>
                <w:szCs w:val="24"/>
              </w:rPr>
            </w:r>
            <w:r w:rsidRPr="001347C5">
              <w:rPr>
                <w:rFonts w:ascii="Times New Roman" w:hAnsi="Times New Roman"/>
                <w:sz w:val="24"/>
                <w:szCs w:val="24"/>
              </w:rPr>
              <w:fldChar w:fldCharType="end"/>
            </w:r>
            <w:bookmarkEnd w:id="11"/>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2"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В течение 10 (десяти) календарных дней с момента подписания Покупателем универсального передаточного документа (УПД).
                <w:br/>
              </w:t>
            </w:r>
            <w:r w:rsidRPr="001347C5">
              <w:rPr>
                <w:rFonts w:ascii="Times New Roman" w:hAnsi="Times New Roman"/>
                <w:sz w:val="24"/>
                <w:szCs w:val="24"/>
              </w:rPr>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3"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w:t>
            </w:r>
            <w:r>
              <w:rPr>
                <w:rFonts w:ascii="Times New Roman" w:hAnsi="Times New Roman" w:cs="Times New Roman"/>
                <w:sz w:val="24"/>
                <w:szCs w:val="24"/>
              </w:rPr>
              <w:fldChar w:fldCharType="end"/>
            </w:r>
            <w:bookmarkEnd w:id="13"/>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4"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4"/>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5"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6"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6"/>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7"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8"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01.11.2022</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19"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0"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1"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2"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3"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0" w:type="auto"/>
        <w:tblInd w:w="28" w:type="dxa"/>
        <w:tblLayout w:type="fixed"/>
        <w:tblCellMar>
          <w:left w:w="28" w:type="dxa"/>
          <w:right w:w="28" w:type="dxa"/>
        </w:tblCellMar>
        <w:tblLook w:val="04A0" w:firstRow="1" w:lastRow="0" w:firstColumn="1" w:lastColumn="0" w:noHBand="0" w:noVBand="1"/>
      </w:tblPr>
      <w:tblGrid>
        <w:gridCol w:w="407"/>
        <w:gridCol w:w="564"/>
        <w:gridCol w:w="945"/>
        <w:gridCol w:w="735"/>
        <w:gridCol w:w="2139"/>
        <w:gridCol w:w="739"/>
        <w:gridCol w:w="919"/>
        <w:gridCol w:w="1063"/>
        <w:gridCol w:w="866"/>
        <w:gridCol w:w="748"/>
        <w:gridCol w:w="827"/>
        <w:gridCol w:w="1063"/>
        <w:gridCol w:w="1168"/>
        <w:gridCol w:w="945"/>
        <w:gridCol w:w="1238"/>
      </w:tblGrid>
      <w:tr w:rsidR="006972FA" w:rsidRPr="006972FA" w:rsidTr="001817AA">
        <w:trPr>
          <w:trHeight w:val="60"/>
        </w:trPr>
        <w:tc>
          <w:tcPr>
            <w:tcW w:w="407" w:type="dxa"/>
            <w:shd w:val="clear" w:color="FFFFFF" w:fill="auto"/>
            <w:vAlign w:val="center"/>
          </w:tcPr>
          <w:p w:rsidR="006972FA" w:rsidRPr="006972FA" w:rsidRDefault="006972FA" w:rsidP="006972FA">
            <w:pPr>
              <w:rPr>
                <w:rFonts w:cs="Times New Roman"/>
                <w:szCs w:val="16"/>
              </w:rPr>
            </w:pPr>
          </w:p>
        </w:tc>
        <w:tc>
          <w:tcPr>
            <w:tcW w:w="564" w:type="dxa"/>
            <w:shd w:val="clear" w:color="FFFFFF" w:fill="auto"/>
            <w:vAlign w:val="center"/>
          </w:tcPr>
          <w:p w:rsidR="006972FA" w:rsidRPr="006972FA" w:rsidRDefault="006972FA" w:rsidP="006972FA">
            <w:pPr>
              <w:rPr>
                <w:rFonts w:cs="Times New Roman"/>
                <w:szCs w:val="16"/>
              </w:rPr>
            </w:pPr>
          </w:p>
        </w:tc>
        <w:tc>
          <w:tcPr>
            <w:tcW w:w="945" w:type="dxa"/>
            <w:shd w:val="clear" w:color="FFFFFF" w:fill="auto"/>
            <w:vAlign w:val="center"/>
          </w:tcPr>
          <w:p w:rsidR="006972FA" w:rsidRPr="006972FA" w:rsidRDefault="006972FA" w:rsidP="006972FA">
            <w:pPr>
              <w:rPr>
                <w:rFonts w:cs="Times New Roman"/>
                <w:szCs w:val="16"/>
              </w:rPr>
            </w:pPr>
          </w:p>
        </w:tc>
        <w:tc>
          <w:tcPr>
            <w:tcW w:w="735" w:type="dxa"/>
            <w:shd w:val="clear" w:color="FFFFFF" w:fill="auto"/>
            <w:vAlign w:val="center"/>
          </w:tcPr>
          <w:p w:rsidR="006972FA" w:rsidRPr="006972FA" w:rsidRDefault="006972FA" w:rsidP="006972FA">
            <w:pPr>
              <w:rPr>
                <w:rFonts w:cs="Times New Roman"/>
                <w:szCs w:val="16"/>
              </w:rPr>
            </w:pPr>
          </w:p>
        </w:tc>
        <w:tc>
          <w:tcPr>
            <w:tcW w:w="2139" w:type="dxa"/>
            <w:shd w:val="clear" w:color="FFFFFF" w:fill="auto"/>
            <w:vAlign w:val="center"/>
          </w:tcPr>
          <w:p w:rsidR="006972FA" w:rsidRPr="006972FA" w:rsidRDefault="006972FA" w:rsidP="006972FA">
            <w:pPr>
              <w:rPr>
                <w:rFonts w:cs="Times New Roman"/>
                <w:szCs w:val="16"/>
              </w:rPr>
            </w:pPr>
          </w:p>
        </w:tc>
        <w:tc>
          <w:tcPr>
            <w:tcW w:w="739" w:type="dxa"/>
            <w:shd w:val="clear" w:color="FFFFFF" w:fill="auto"/>
            <w:vAlign w:val="center"/>
          </w:tcPr>
          <w:p w:rsidR="006972FA" w:rsidRPr="006972FA" w:rsidRDefault="006972FA" w:rsidP="006972FA">
            <w:pPr>
              <w:rPr>
                <w:rFonts w:cs="Times New Roman"/>
                <w:szCs w:val="16"/>
              </w:rPr>
            </w:pPr>
          </w:p>
        </w:tc>
        <w:tc>
          <w:tcPr>
            <w:tcW w:w="919" w:type="dxa"/>
            <w:shd w:val="clear" w:color="FFFFFF" w:fill="auto"/>
            <w:vAlign w:val="center"/>
          </w:tcPr>
          <w:p w:rsidR="006972FA" w:rsidRPr="006972FA" w:rsidRDefault="006972FA" w:rsidP="006972FA">
            <w:pPr>
              <w:rPr>
                <w:rFonts w:cs="Times New Roman"/>
                <w:szCs w:val="16"/>
              </w:rPr>
            </w:pPr>
          </w:p>
        </w:tc>
        <w:tc>
          <w:tcPr>
            <w:tcW w:w="1063" w:type="dxa"/>
            <w:shd w:val="clear" w:color="FFFFFF" w:fill="auto"/>
            <w:vAlign w:val="center"/>
          </w:tcPr>
          <w:p w:rsidR="006972FA" w:rsidRPr="006972FA" w:rsidRDefault="006972FA" w:rsidP="006972FA">
            <w:pPr>
              <w:rPr>
                <w:rFonts w:cs="Times New Roman"/>
                <w:szCs w:val="16"/>
              </w:rPr>
            </w:pPr>
          </w:p>
        </w:tc>
        <w:tc>
          <w:tcPr>
            <w:tcW w:w="866" w:type="dxa"/>
            <w:shd w:val="clear" w:color="FFFFFF" w:fill="auto"/>
            <w:vAlign w:val="center"/>
          </w:tcPr>
          <w:p w:rsidR="006972FA" w:rsidRPr="006972FA" w:rsidRDefault="006972FA" w:rsidP="006972FA">
            <w:pPr>
              <w:rPr>
                <w:rFonts w:cs="Times New Roman"/>
                <w:szCs w:val="16"/>
              </w:rPr>
            </w:pPr>
          </w:p>
        </w:tc>
        <w:tc>
          <w:tcPr>
            <w:tcW w:w="748" w:type="dxa"/>
            <w:shd w:val="clear" w:color="FFFFFF" w:fill="auto"/>
            <w:vAlign w:val="center"/>
          </w:tcPr>
          <w:p w:rsidR="006972FA" w:rsidRPr="006972FA" w:rsidRDefault="006972FA" w:rsidP="006972FA">
            <w:pPr>
              <w:rPr>
                <w:rFonts w:cs="Times New Roman"/>
                <w:szCs w:val="16"/>
              </w:rPr>
            </w:pPr>
          </w:p>
        </w:tc>
        <w:tc>
          <w:tcPr>
            <w:tcW w:w="827" w:type="dxa"/>
            <w:shd w:val="clear" w:color="FFFFFF" w:fill="auto"/>
            <w:vAlign w:val="center"/>
          </w:tcPr>
          <w:p w:rsidR="006972FA" w:rsidRPr="006972FA" w:rsidRDefault="006972FA" w:rsidP="006972FA">
            <w:pPr>
              <w:rPr>
                <w:rFonts w:cs="Times New Roman"/>
                <w:szCs w:val="16"/>
              </w:rPr>
            </w:pPr>
          </w:p>
        </w:tc>
        <w:tc>
          <w:tcPr>
            <w:tcW w:w="1063" w:type="dxa"/>
            <w:shd w:val="clear" w:color="FFFFFF" w:fill="auto"/>
            <w:vAlign w:val="center"/>
          </w:tcPr>
          <w:p w:rsidR="006972FA" w:rsidRPr="006972FA" w:rsidRDefault="006972FA" w:rsidP="006972FA">
            <w:pPr>
              <w:rPr>
                <w:rFonts w:cs="Times New Roman"/>
                <w:szCs w:val="16"/>
              </w:rPr>
            </w:pPr>
          </w:p>
        </w:tc>
        <w:tc>
          <w:tcPr>
            <w:tcW w:w="1168" w:type="dxa"/>
            <w:shd w:val="clear" w:color="FFFFFF" w:fill="auto"/>
            <w:vAlign w:val="center"/>
          </w:tcPr>
          <w:p w:rsidR="006972FA" w:rsidRPr="006972FA" w:rsidRDefault="006972FA" w:rsidP="006972FA">
            <w:pPr>
              <w:rPr>
                <w:rFonts w:cs="Times New Roman"/>
                <w:szCs w:val="16"/>
              </w:rPr>
            </w:pPr>
          </w:p>
        </w:tc>
        <w:tc>
          <w:tcPr>
            <w:tcW w:w="945" w:type="dxa"/>
            <w:shd w:val="clear" w:color="FFFFFF" w:fill="auto"/>
            <w:vAlign w:val="center"/>
          </w:tcPr>
          <w:p w:rsidR="006972FA" w:rsidRPr="006972FA" w:rsidRDefault="006972FA" w:rsidP="006972FA">
            <w:pPr>
              <w:rPr>
                <w:rFonts w:cs="Times New Roman"/>
                <w:szCs w:val="16"/>
              </w:rPr>
            </w:pPr>
          </w:p>
        </w:tc>
        <w:tc>
          <w:tcPr>
            <w:tcW w:w="1234" w:type="dxa"/>
            <w:shd w:val="clear" w:color="FFFFFF" w:fill="auto"/>
            <w:vAlign w:val="center"/>
          </w:tcPr>
          <w:p w:rsidR="006972FA" w:rsidRPr="006972FA" w:rsidRDefault="006972FA" w:rsidP="006972FA">
            <w:pPr>
              <w:rPr>
                <w:rFonts w:cs="Times New Roman"/>
                <w:szCs w:val="16"/>
              </w:rPr>
            </w:pPr>
          </w:p>
        </w:tc>
      </w:tr>
      <w:tr w:rsidR="006972FA" w:rsidRPr="006972FA" w:rsidTr="001817AA">
        <w:trPr>
          <w:trHeight w:val="60"/>
        </w:trPr>
        <w:tc>
          <w:tcPr>
            <w:tcW w:w="407" w:type="dxa"/>
            <w:shd w:val="clear" w:color="FFFFFF" w:fill="auto"/>
            <w:vAlign w:val="center"/>
          </w:tcPr>
          <w:p w:rsidR="006972FA" w:rsidRPr="006972FA" w:rsidRDefault="006972FA" w:rsidP="006972FA">
            <w:pPr>
              <w:jc w:val="center"/>
              <w:rPr>
                <w:rFonts w:ascii="Times New Roman" w:hAnsi="Times New Roman" w:cs="Times New Roman"/>
                <w:b/>
              </w:rPr>
            </w:pPr>
          </w:p>
        </w:tc>
        <w:tc>
          <w:tcPr>
            <w:tcW w:w="13959" w:type="dxa"/>
            <w:gridSpan w:val="14"/>
            <w:shd w:val="clear" w:color="FFFFFF" w:fill="auto"/>
            <w:vAlign w:val="center"/>
          </w:tcPr>
          <w:p w:rsidR="006972FA" w:rsidRPr="006972FA" w:rsidRDefault="006972FA" w:rsidP="006972FA">
            <w:pPr>
              <w:jc w:val="center"/>
              <w:rPr>
                <w:rFonts w:ascii="Times New Roman" w:hAnsi="Times New Roman" w:cs="Times New Roman"/>
                <w:b/>
              </w:rPr>
            </w:pPr>
          </w:p>
        </w:tc>
      </w:tr>
      <w:tr w:rsidR="006972FA" w:rsidRPr="006972FA" w:rsidTr="001817AA">
        <w:trPr>
          <w:trHeight w:val="60"/>
        </w:trPr>
        <w:tc>
          <w:tcPr>
            <w:tcW w:w="407" w:type="dxa"/>
            <w:shd w:val="clear" w:color="FFFFFF" w:fill="auto"/>
            <w:vAlign w:val="center"/>
          </w:tcPr>
          <w:p w:rsidR="006972FA" w:rsidRPr="006972FA" w:rsidRDefault="006972FA" w:rsidP="006972FA">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6972FA" w:rsidRPr="006972FA" w:rsidRDefault="006972FA" w:rsidP="006972FA">
            <w:pPr>
              <w:jc w:val="center"/>
              <w:rPr>
                <w:rFonts w:ascii="Times New Roman" w:hAnsi="Times New Roman" w:cs="Times New Roman"/>
              </w:rPr>
            </w:pPr>
            <w:r w:rsidRPr="006972FA">
              <w:rPr>
                <w:rFonts w:ascii="Times New Roman" w:hAnsi="Times New Roman" w:cs="Times New Roman"/>
              </w:rPr>
              <w:t>№</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72FA" w:rsidRPr="006972FA" w:rsidRDefault="006972FA" w:rsidP="006972FA">
            <w:pPr>
              <w:jc w:val="center"/>
              <w:rPr>
                <w:rFonts w:ascii="Times New Roman" w:hAnsi="Times New Roman" w:cs="Times New Roman"/>
              </w:rPr>
            </w:pPr>
            <w:r w:rsidRPr="006972FA">
              <w:rPr>
                <w:rFonts w:ascii="Times New Roman" w:hAnsi="Times New Roman" w:cs="Times New Roman"/>
              </w:rPr>
              <w:t>Материал</w:t>
            </w:r>
          </w:p>
        </w:tc>
        <w:tc>
          <w:tcPr>
            <w:tcW w:w="28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72FA" w:rsidRPr="006972FA" w:rsidRDefault="006972FA" w:rsidP="006972FA">
            <w:pPr>
              <w:jc w:val="center"/>
              <w:rPr>
                <w:rFonts w:ascii="Times New Roman" w:hAnsi="Times New Roman" w:cs="Times New Roman"/>
              </w:rPr>
            </w:pPr>
            <w:r w:rsidRPr="006972FA">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6972FA" w:rsidRPr="006972FA" w:rsidRDefault="006972FA" w:rsidP="006972FA">
            <w:pPr>
              <w:jc w:val="center"/>
              <w:rPr>
                <w:rFonts w:ascii="Times New Roman" w:hAnsi="Times New Roman" w:cs="Times New Roman"/>
              </w:rPr>
            </w:pPr>
            <w:r w:rsidRPr="006972FA">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6972FA" w:rsidRPr="006972FA" w:rsidRDefault="006972FA" w:rsidP="006972FA">
            <w:pPr>
              <w:jc w:val="center"/>
              <w:rPr>
                <w:rFonts w:ascii="Times New Roman" w:hAnsi="Times New Roman" w:cs="Times New Roman"/>
              </w:rPr>
            </w:pPr>
            <w:r w:rsidRPr="006972FA">
              <w:rPr>
                <w:rFonts w:ascii="Times New Roman" w:hAnsi="Times New Roman" w:cs="Times New Roman"/>
              </w:rPr>
              <w:t>Наименование страны происхождения</w:t>
            </w:r>
          </w:p>
        </w:tc>
        <w:tc>
          <w:tcPr>
            <w:tcW w:w="866" w:type="dxa"/>
            <w:tcBorders>
              <w:top w:val="single" w:sz="5" w:space="0" w:color="auto"/>
              <w:left w:val="single" w:sz="5" w:space="0" w:color="auto"/>
              <w:bottom w:val="single" w:sz="5" w:space="0" w:color="auto"/>
              <w:right w:val="single" w:sz="5" w:space="0" w:color="auto"/>
            </w:tcBorders>
            <w:shd w:val="clear" w:color="FFFFFF" w:fill="auto"/>
            <w:vAlign w:val="center"/>
          </w:tcPr>
          <w:p w:rsidR="006972FA" w:rsidRPr="006972FA" w:rsidRDefault="006972FA" w:rsidP="006972FA">
            <w:pPr>
              <w:jc w:val="center"/>
              <w:rPr>
                <w:rFonts w:ascii="Times New Roman" w:hAnsi="Times New Roman" w:cs="Times New Roman"/>
              </w:rPr>
            </w:pPr>
            <w:r w:rsidRPr="006972FA">
              <w:rPr>
                <w:rFonts w:ascii="Times New Roman" w:hAnsi="Times New Roman" w:cs="Times New Roman"/>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6972FA" w:rsidRPr="006972FA" w:rsidRDefault="006972FA" w:rsidP="006972FA">
            <w:pPr>
              <w:jc w:val="center"/>
              <w:rPr>
                <w:rFonts w:ascii="Times New Roman" w:hAnsi="Times New Roman" w:cs="Times New Roman"/>
              </w:rPr>
            </w:pPr>
            <w:r w:rsidRPr="006972FA">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6972FA" w:rsidRPr="006972FA" w:rsidRDefault="006972FA" w:rsidP="006972FA">
            <w:pPr>
              <w:jc w:val="center"/>
              <w:rPr>
                <w:rFonts w:ascii="Times New Roman" w:hAnsi="Times New Roman" w:cs="Times New Roman"/>
              </w:rPr>
            </w:pPr>
            <w:r w:rsidRPr="006972FA">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6972FA" w:rsidRPr="006972FA" w:rsidRDefault="006972FA" w:rsidP="006972FA">
            <w:pPr>
              <w:jc w:val="center"/>
              <w:rPr>
                <w:rFonts w:ascii="Times New Roman" w:hAnsi="Times New Roman" w:cs="Times New Roman"/>
              </w:rPr>
            </w:pPr>
            <w:r w:rsidRPr="006972FA">
              <w:rPr>
                <w:rFonts w:ascii="Times New Roman" w:hAnsi="Times New Roman" w:cs="Times New Roman"/>
              </w:rPr>
              <w:t>Цена за ед. без НДС и опт. надбавки</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6972FA" w:rsidRPr="006972FA" w:rsidRDefault="006972FA" w:rsidP="006972FA">
            <w:pPr>
              <w:jc w:val="center"/>
              <w:rPr>
                <w:rFonts w:ascii="Times New Roman" w:hAnsi="Times New Roman" w:cs="Times New Roman"/>
              </w:rPr>
            </w:pPr>
            <w:r w:rsidRPr="006972FA">
              <w:rPr>
                <w:rFonts w:ascii="Times New Roman" w:hAnsi="Times New Roman" w:cs="Times New Roman"/>
              </w:rPr>
              <w:t>Цена за ед. с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6972FA" w:rsidRPr="006972FA" w:rsidRDefault="006972FA" w:rsidP="006972FA">
            <w:pPr>
              <w:jc w:val="center"/>
              <w:rPr>
                <w:rFonts w:ascii="Times New Roman" w:hAnsi="Times New Roman" w:cs="Times New Roman"/>
              </w:rPr>
            </w:pPr>
            <w:r w:rsidRPr="006972FA">
              <w:rPr>
                <w:rFonts w:ascii="Times New Roman" w:hAnsi="Times New Roman" w:cs="Times New Roman"/>
              </w:rPr>
              <w:t>Единица измерения по ЕСКЛП (Потребительская единица)</w:t>
            </w:r>
          </w:p>
        </w:tc>
        <w:tc>
          <w:tcPr>
            <w:tcW w:w="1234" w:type="dxa"/>
            <w:tcBorders>
              <w:top w:val="single" w:sz="5" w:space="0" w:color="auto"/>
              <w:left w:val="single" w:sz="5" w:space="0" w:color="auto"/>
              <w:bottom w:val="single" w:sz="5" w:space="0" w:color="auto"/>
              <w:right w:val="single" w:sz="5" w:space="0" w:color="auto"/>
            </w:tcBorders>
            <w:shd w:val="clear" w:color="FFFFFF" w:fill="FFFFFF"/>
            <w:vAlign w:val="center"/>
          </w:tcPr>
          <w:p w:rsidR="006972FA" w:rsidRPr="006972FA" w:rsidRDefault="006972FA" w:rsidP="006972FA">
            <w:pPr>
              <w:jc w:val="center"/>
              <w:rPr>
                <w:rFonts w:ascii="Times New Roman" w:hAnsi="Times New Roman" w:cs="Times New Roman"/>
              </w:rPr>
            </w:pPr>
            <w:r w:rsidRPr="006972FA">
              <w:rPr>
                <w:rFonts w:ascii="Times New Roman" w:hAnsi="Times New Roman" w:cs="Times New Roman"/>
              </w:rPr>
              <w:t>Количество потребительских единиц</w:t>
            </w:r>
          </w:p>
        </w:tc>
      </w:tr>
      <w:tr w:rsidR="006972FA" w:rsidRPr="006972FA" w:rsidTr="001817AA">
        <w:trPr>
          <w:trHeight w:val="60"/>
        </w:trPr>
        <w:tc>
          <w:tcPr>
            <w:tcW w:w="407" w:type="dxa"/>
            <w:shd w:val="clear" w:color="FFFFFF" w:fill="auto"/>
            <w:vAlign w:val="center"/>
          </w:tcPr>
          <w:p w:rsidR="006972FA" w:rsidRPr="006972FA" w:rsidRDefault="006972FA" w:rsidP="006972FA">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6972FA" w:rsidRPr="006972FA" w:rsidRDefault="006972FA" w:rsidP="006972FA">
            <w:pPr>
              <w:jc w:val="center"/>
              <w:rPr>
                <w:rFonts w:ascii="Times New Roman" w:hAnsi="Times New Roman" w:cs="Times New Roman"/>
              </w:rPr>
            </w:pPr>
            <w:r w:rsidRPr="006972FA">
              <w:rPr>
                <w:rFonts w:ascii="Times New Roman" w:hAnsi="Times New Roman" w:cs="Times New Roman"/>
              </w:rPr>
              <w:t>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72FA" w:rsidRPr="006972FA" w:rsidRDefault="006972FA" w:rsidP="006972FA">
            <w:pPr>
              <w:jc w:val="center"/>
              <w:rPr>
                <w:rFonts w:ascii="Times New Roman" w:hAnsi="Times New Roman" w:cs="Times New Roman"/>
              </w:rPr>
            </w:pPr>
            <w:r w:rsidRPr="006972FA">
              <w:rPr>
                <w:rFonts w:ascii="Times New Roman" w:hAnsi="Times New Roman" w:cs="Times New Roman"/>
              </w:rPr>
              <w:t>Ритуксимаб</w:t>
            </w:r>
          </w:p>
        </w:tc>
        <w:tc>
          <w:tcPr>
            <w:tcW w:w="28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972FA" w:rsidRPr="006972FA" w:rsidRDefault="006972FA" w:rsidP="006972FA">
            <w:pPr>
              <w:rPr>
                <w:rFonts w:ascii="Times New Roman" w:hAnsi="Times New Roman" w:cs="Times New Roman"/>
              </w:rPr>
            </w:pPr>
            <w:r w:rsidRPr="006972FA">
              <w:rPr>
                <w:rFonts w:ascii="Times New Roman" w:hAnsi="Times New Roman" w:cs="Times New Roman"/>
              </w:rPr>
              <w:t>МНН: РИТУКСИМАБ</w:t>
            </w:r>
            <w:r w:rsidRPr="006972FA">
              <w:rPr>
                <w:rFonts w:ascii="Times New Roman" w:hAnsi="Times New Roman" w:cs="Times New Roman"/>
              </w:rPr>
              <w:br/>
              <w:t>Лекарственная форма: концентрат для приготовления раствора для инфузий</w:t>
            </w:r>
            <w:r w:rsidRPr="006972FA">
              <w:rPr>
                <w:rFonts w:ascii="Times New Roman" w:hAnsi="Times New Roman" w:cs="Times New Roman"/>
              </w:rPr>
              <w:br/>
              <w:t>Дозировка: 10 мг/мл</w:t>
            </w:r>
            <w:r w:rsidRPr="006972FA">
              <w:rPr>
                <w:rFonts w:ascii="Times New Roman" w:hAnsi="Times New Roman" w:cs="Times New Roman"/>
              </w:rPr>
              <w:br/>
              <w:t>Количество лекарственной формы в первичной упаковке: 50 мл</w:t>
            </w:r>
            <w:r w:rsidRPr="006972FA">
              <w:rPr>
                <w:rFonts w:ascii="Times New Roman" w:hAnsi="Times New Roman" w:cs="Times New Roman"/>
                <w:vertAlign w:val="superscript"/>
              </w:rPr>
              <w:t>&lt;1&gt;</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rsidR="006972FA" w:rsidRPr="006972FA" w:rsidRDefault="006972FA" w:rsidP="006972FA">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6972FA" w:rsidRPr="006972FA" w:rsidRDefault="006972FA" w:rsidP="006972FA">
            <w:pPr>
              <w:jc w:val="center"/>
              <w:rPr>
                <w:rFonts w:ascii="Times New Roman" w:hAnsi="Times New Roman" w:cs="Times New Roman"/>
              </w:rPr>
            </w:pPr>
          </w:p>
        </w:tc>
        <w:tc>
          <w:tcPr>
            <w:tcW w:w="866" w:type="dxa"/>
            <w:tcBorders>
              <w:top w:val="single" w:sz="5" w:space="0" w:color="auto"/>
              <w:left w:val="single" w:sz="5" w:space="0" w:color="auto"/>
              <w:bottom w:val="single" w:sz="5" w:space="0" w:color="auto"/>
              <w:right w:val="single" w:sz="5" w:space="0" w:color="auto"/>
            </w:tcBorders>
            <w:shd w:val="clear" w:color="FFFFFF" w:fill="auto"/>
            <w:vAlign w:val="center"/>
          </w:tcPr>
          <w:p w:rsidR="006972FA" w:rsidRPr="006972FA" w:rsidRDefault="006972FA" w:rsidP="006972FA">
            <w:pPr>
              <w:jc w:val="center"/>
              <w:rPr>
                <w:rFonts w:ascii="Times New Roman" w:hAnsi="Times New Roman" w:cs="Times New Roman"/>
              </w:rPr>
            </w:pPr>
            <w:r w:rsidRPr="006972FA">
              <w:rPr>
                <w:rFonts w:ascii="Times New Roman" w:hAnsi="Times New Roman" w:cs="Times New Roman"/>
              </w:rPr>
              <w:t>21.20.10.211-000046-1-00152-0000000000000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6972FA" w:rsidRPr="006972FA" w:rsidRDefault="006972FA" w:rsidP="006972FA">
            <w:pPr>
              <w:jc w:val="center"/>
              <w:rPr>
                <w:rFonts w:ascii="Times New Roman" w:hAnsi="Times New Roman" w:cs="Times New Roman"/>
              </w:rPr>
            </w:pPr>
            <w:r w:rsidRPr="006972FA">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6972FA" w:rsidRPr="006972FA" w:rsidRDefault="006972FA" w:rsidP="006972FA">
            <w:pPr>
              <w:jc w:val="center"/>
              <w:rPr>
                <w:rFonts w:ascii="Times New Roman" w:hAnsi="Times New Roman" w:cs="Times New Roman"/>
              </w:rPr>
            </w:pPr>
            <w:r w:rsidRPr="006972FA">
              <w:rPr>
                <w:rFonts w:ascii="Times New Roman" w:hAnsi="Times New Roman" w:cs="Times New Roman"/>
              </w:rPr>
              <w:t>13</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6972FA" w:rsidRPr="006972FA" w:rsidRDefault="006972FA" w:rsidP="006972FA">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6972FA" w:rsidRPr="006972FA" w:rsidRDefault="006972FA" w:rsidP="006972FA">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6972FA" w:rsidRPr="006972FA" w:rsidRDefault="006972FA" w:rsidP="006972FA">
            <w:pPr>
              <w:jc w:val="center"/>
              <w:rPr>
                <w:rFonts w:ascii="Times New Roman" w:hAnsi="Times New Roman" w:cs="Times New Roman"/>
              </w:rPr>
            </w:pPr>
            <w:r w:rsidRPr="006972FA">
              <w:rPr>
                <w:rFonts w:ascii="Times New Roman" w:hAnsi="Times New Roman" w:cs="Times New Roman"/>
              </w:rPr>
              <w:t>см3;мл</w:t>
            </w:r>
          </w:p>
        </w:tc>
        <w:tc>
          <w:tcPr>
            <w:tcW w:w="1234" w:type="dxa"/>
            <w:tcBorders>
              <w:top w:val="single" w:sz="5" w:space="0" w:color="auto"/>
              <w:left w:val="single" w:sz="5" w:space="0" w:color="auto"/>
              <w:bottom w:val="single" w:sz="5" w:space="0" w:color="auto"/>
              <w:right w:val="single" w:sz="5" w:space="0" w:color="auto"/>
            </w:tcBorders>
            <w:shd w:val="clear" w:color="FFFFFF" w:fill="auto"/>
            <w:vAlign w:val="center"/>
          </w:tcPr>
          <w:p w:rsidR="006972FA" w:rsidRPr="006972FA" w:rsidRDefault="006972FA" w:rsidP="006972FA">
            <w:pPr>
              <w:jc w:val="center"/>
              <w:rPr>
                <w:rFonts w:ascii="Times New Roman" w:hAnsi="Times New Roman" w:cs="Times New Roman"/>
              </w:rPr>
            </w:pPr>
            <w:r w:rsidRPr="006972FA">
              <w:rPr>
                <w:rFonts w:ascii="Times New Roman" w:hAnsi="Times New Roman" w:cs="Times New Roman"/>
              </w:rPr>
              <w:t>650</w:t>
            </w:r>
          </w:p>
        </w:tc>
      </w:tr>
      <w:tr w:rsidR="006972FA" w:rsidRPr="006972FA" w:rsidTr="001817AA">
        <w:trPr>
          <w:trHeight w:val="60"/>
        </w:trPr>
        <w:tc>
          <w:tcPr>
            <w:tcW w:w="407" w:type="dxa"/>
            <w:shd w:val="clear" w:color="FFFFFF" w:fill="auto"/>
            <w:vAlign w:val="center"/>
          </w:tcPr>
          <w:p w:rsidR="006972FA" w:rsidRPr="006972FA" w:rsidRDefault="006972FA" w:rsidP="006972FA">
            <w:pPr>
              <w:rPr>
                <w:rFonts w:cs="Times New Roman"/>
                <w:szCs w:val="16"/>
              </w:rPr>
            </w:pPr>
          </w:p>
        </w:tc>
        <w:tc>
          <w:tcPr>
            <w:tcW w:w="564" w:type="dxa"/>
            <w:shd w:val="clear" w:color="FFFFFF" w:fill="auto"/>
            <w:vAlign w:val="center"/>
          </w:tcPr>
          <w:p w:rsidR="006972FA" w:rsidRPr="006972FA" w:rsidRDefault="006972FA" w:rsidP="006972FA">
            <w:pPr>
              <w:rPr>
                <w:rFonts w:cs="Times New Roman"/>
                <w:szCs w:val="16"/>
              </w:rPr>
            </w:pPr>
          </w:p>
        </w:tc>
        <w:tc>
          <w:tcPr>
            <w:tcW w:w="945" w:type="dxa"/>
            <w:shd w:val="clear" w:color="FFFFFF" w:fill="auto"/>
            <w:vAlign w:val="center"/>
          </w:tcPr>
          <w:p w:rsidR="006972FA" w:rsidRPr="006972FA" w:rsidRDefault="006972FA" w:rsidP="006972FA">
            <w:pPr>
              <w:rPr>
                <w:rFonts w:cs="Times New Roman"/>
                <w:szCs w:val="16"/>
              </w:rPr>
            </w:pPr>
          </w:p>
        </w:tc>
        <w:tc>
          <w:tcPr>
            <w:tcW w:w="735" w:type="dxa"/>
            <w:shd w:val="clear" w:color="FFFFFF" w:fill="auto"/>
            <w:vAlign w:val="center"/>
          </w:tcPr>
          <w:p w:rsidR="006972FA" w:rsidRPr="006972FA" w:rsidRDefault="006972FA" w:rsidP="006972FA">
            <w:pPr>
              <w:rPr>
                <w:rFonts w:cs="Times New Roman"/>
                <w:szCs w:val="16"/>
              </w:rPr>
            </w:pPr>
          </w:p>
        </w:tc>
        <w:tc>
          <w:tcPr>
            <w:tcW w:w="2139" w:type="dxa"/>
            <w:shd w:val="clear" w:color="FFFFFF" w:fill="auto"/>
            <w:vAlign w:val="center"/>
          </w:tcPr>
          <w:p w:rsidR="006972FA" w:rsidRPr="006972FA" w:rsidRDefault="006972FA" w:rsidP="006972FA">
            <w:pPr>
              <w:rPr>
                <w:rFonts w:cs="Times New Roman"/>
                <w:szCs w:val="16"/>
              </w:rPr>
            </w:pPr>
          </w:p>
        </w:tc>
        <w:tc>
          <w:tcPr>
            <w:tcW w:w="739" w:type="dxa"/>
            <w:shd w:val="clear" w:color="FFFFFF" w:fill="auto"/>
            <w:vAlign w:val="center"/>
          </w:tcPr>
          <w:p w:rsidR="006972FA" w:rsidRPr="006972FA" w:rsidRDefault="006972FA" w:rsidP="006972FA">
            <w:pPr>
              <w:rPr>
                <w:rFonts w:cs="Times New Roman"/>
                <w:szCs w:val="16"/>
              </w:rPr>
            </w:pPr>
          </w:p>
        </w:tc>
        <w:tc>
          <w:tcPr>
            <w:tcW w:w="919" w:type="dxa"/>
            <w:shd w:val="clear" w:color="FFFFFF" w:fill="auto"/>
            <w:vAlign w:val="center"/>
          </w:tcPr>
          <w:p w:rsidR="006972FA" w:rsidRPr="006972FA" w:rsidRDefault="006972FA" w:rsidP="006972FA">
            <w:pPr>
              <w:rPr>
                <w:rFonts w:cs="Times New Roman"/>
                <w:szCs w:val="16"/>
              </w:rPr>
            </w:pPr>
          </w:p>
        </w:tc>
        <w:tc>
          <w:tcPr>
            <w:tcW w:w="1063" w:type="dxa"/>
            <w:shd w:val="clear" w:color="FFFFFF" w:fill="auto"/>
            <w:vAlign w:val="center"/>
          </w:tcPr>
          <w:p w:rsidR="006972FA" w:rsidRPr="006972FA" w:rsidRDefault="006972FA" w:rsidP="006972FA">
            <w:pPr>
              <w:rPr>
                <w:rFonts w:cs="Times New Roman"/>
                <w:szCs w:val="16"/>
              </w:rPr>
            </w:pPr>
          </w:p>
        </w:tc>
        <w:tc>
          <w:tcPr>
            <w:tcW w:w="866" w:type="dxa"/>
            <w:shd w:val="clear" w:color="FFFFFF" w:fill="auto"/>
            <w:vAlign w:val="center"/>
          </w:tcPr>
          <w:p w:rsidR="006972FA" w:rsidRPr="006972FA" w:rsidRDefault="006972FA" w:rsidP="006972FA">
            <w:pPr>
              <w:rPr>
                <w:rFonts w:cs="Times New Roman"/>
                <w:szCs w:val="16"/>
              </w:rPr>
            </w:pPr>
          </w:p>
        </w:tc>
        <w:tc>
          <w:tcPr>
            <w:tcW w:w="748" w:type="dxa"/>
            <w:shd w:val="clear" w:color="FFFFFF" w:fill="auto"/>
            <w:vAlign w:val="center"/>
          </w:tcPr>
          <w:p w:rsidR="006972FA" w:rsidRPr="006972FA" w:rsidRDefault="006972FA" w:rsidP="006972FA">
            <w:pPr>
              <w:rPr>
                <w:rFonts w:cs="Times New Roman"/>
                <w:szCs w:val="16"/>
              </w:rPr>
            </w:pPr>
          </w:p>
        </w:tc>
        <w:tc>
          <w:tcPr>
            <w:tcW w:w="827" w:type="dxa"/>
            <w:shd w:val="clear" w:color="FFFFFF" w:fill="auto"/>
            <w:vAlign w:val="center"/>
          </w:tcPr>
          <w:p w:rsidR="006972FA" w:rsidRPr="006972FA" w:rsidRDefault="006972FA" w:rsidP="006972FA">
            <w:pPr>
              <w:rPr>
                <w:rFonts w:cs="Times New Roman"/>
                <w:szCs w:val="16"/>
              </w:rPr>
            </w:pPr>
          </w:p>
        </w:tc>
        <w:tc>
          <w:tcPr>
            <w:tcW w:w="1063" w:type="dxa"/>
            <w:shd w:val="clear" w:color="FFFFFF" w:fill="auto"/>
            <w:vAlign w:val="center"/>
          </w:tcPr>
          <w:p w:rsidR="006972FA" w:rsidRPr="006972FA" w:rsidRDefault="006972FA" w:rsidP="006972FA">
            <w:pPr>
              <w:rPr>
                <w:rFonts w:cs="Times New Roman"/>
                <w:szCs w:val="16"/>
              </w:rPr>
            </w:pPr>
          </w:p>
        </w:tc>
        <w:tc>
          <w:tcPr>
            <w:tcW w:w="1168" w:type="dxa"/>
            <w:shd w:val="clear" w:color="FFFFFF" w:fill="auto"/>
            <w:vAlign w:val="center"/>
          </w:tcPr>
          <w:p w:rsidR="006972FA" w:rsidRPr="006972FA" w:rsidRDefault="006972FA" w:rsidP="006972FA">
            <w:pPr>
              <w:rPr>
                <w:rFonts w:cs="Times New Roman"/>
                <w:szCs w:val="16"/>
              </w:rPr>
            </w:pPr>
          </w:p>
        </w:tc>
        <w:tc>
          <w:tcPr>
            <w:tcW w:w="945" w:type="dxa"/>
            <w:shd w:val="clear" w:color="FFFFFF" w:fill="auto"/>
            <w:vAlign w:val="center"/>
          </w:tcPr>
          <w:p w:rsidR="006972FA" w:rsidRPr="006972FA" w:rsidRDefault="006972FA" w:rsidP="006972FA">
            <w:pPr>
              <w:rPr>
                <w:rFonts w:cs="Times New Roman"/>
                <w:szCs w:val="16"/>
              </w:rPr>
            </w:pPr>
          </w:p>
        </w:tc>
        <w:tc>
          <w:tcPr>
            <w:tcW w:w="1234" w:type="dxa"/>
            <w:shd w:val="clear" w:color="FFFFFF" w:fill="auto"/>
            <w:vAlign w:val="center"/>
          </w:tcPr>
          <w:p w:rsidR="006972FA" w:rsidRPr="006972FA" w:rsidRDefault="006972FA" w:rsidP="006972FA">
            <w:pPr>
              <w:rPr>
                <w:rFonts w:cs="Times New Roman"/>
                <w:szCs w:val="16"/>
              </w:rPr>
            </w:pPr>
          </w:p>
        </w:tc>
      </w:tr>
      <w:tr w:rsidR="006972FA" w:rsidRPr="006972FA" w:rsidTr="001817AA">
        <w:trPr>
          <w:trHeight w:val="60"/>
        </w:trPr>
        <w:tc>
          <w:tcPr>
            <w:tcW w:w="407" w:type="dxa"/>
            <w:shd w:val="clear" w:color="FFFFFF" w:fill="auto"/>
            <w:vAlign w:val="center"/>
          </w:tcPr>
          <w:p w:rsidR="006972FA" w:rsidRPr="006972FA" w:rsidRDefault="006972FA" w:rsidP="006972FA">
            <w:pPr>
              <w:rPr>
                <w:rFonts w:cs="Times New Roman"/>
                <w:szCs w:val="16"/>
              </w:rPr>
            </w:pPr>
          </w:p>
        </w:tc>
        <w:tc>
          <w:tcPr>
            <w:tcW w:w="13959" w:type="dxa"/>
            <w:gridSpan w:val="14"/>
            <w:shd w:val="clear" w:color="FFFFFF" w:fill="auto"/>
            <w:vAlign w:val="center"/>
          </w:tcPr>
          <w:p w:rsidR="006972FA" w:rsidRPr="006972FA" w:rsidRDefault="006972FA" w:rsidP="006972FA">
            <w:pPr>
              <w:jc w:val="both"/>
              <w:rPr>
                <w:rFonts w:ascii="Times New Roman" w:hAnsi="Times New Roman" w:cs="Times New Roman"/>
                <w:sz w:val="24"/>
                <w:szCs w:val="24"/>
              </w:rPr>
            </w:pPr>
            <w:r w:rsidRPr="006972FA">
              <w:rPr>
                <w:rFonts w:ascii="Times New Roman" w:hAnsi="Times New Roman" w:cs="Times New Roman"/>
                <w:sz w:val="24"/>
                <w:szCs w:val="24"/>
              </w:rPr>
              <w:t>*-первичная упаковка</w:t>
            </w:r>
          </w:p>
          <w:p w:rsidR="006972FA" w:rsidRPr="006972FA" w:rsidRDefault="006972FA" w:rsidP="006972FA">
            <w:pPr>
              <w:jc w:val="both"/>
              <w:rPr>
                <w:rFonts w:ascii="Times New Roman" w:hAnsi="Times New Roman" w:cs="Times New Roman"/>
                <w:sz w:val="24"/>
                <w:szCs w:val="24"/>
              </w:rPr>
            </w:pPr>
            <w:r w:rsidRPr="006972FA">
              <w:rPr>
                <w:rFonts w:ascii="Times New Roman" w:hAnsi="Times New Roman" w:cs="Times New Roman"/>
                <w:sz w:val="24"/>
                <w:szCs w:val="24"/>
              </w:rPr>
              <w:t>&lt;1&gt;-Предъявление требований к количеству лекарственной формы в первичной упаковке обусловлено тем, что такое количество препарата МНН Ритуксимаб во флаконе оптимально для лечебного процесса и безопасности пациентов и персонала, т. к. в клинике осуществляется лечение только пациентов с онкогематологической патологией (лимфомы и лимфолейкоз), для лечения которых ритуксимаб используется в максимальной дозе 375-500 мг/м2, что соответствует 750 – 1000 мг на одного пациента. В клинике не осуществляется лечение пациентов с ревматическими заболеваниями. Использование препарата в требуемом объеме наполнения обусловлено необходимостью рационального использования препарата, экономической целесообразностью, а также требованиями санитарно-эпидемиологической безопасности при приготовлении инфузии потенциально токсичного вещества.</w:t>
            </w:r>
          </w:p>
          <w:p w:rsidR="006972FA" w:rsidRPr="006972FA" w:rsidRDefault="006972FA" w:rsidP="006972FA">
            <w:pPr>
              <w:jc w:val="both"/>
              <w:rPr>
                <w:rFonts w:ascii="Times New Roman" w:hAnsi="Times New Roman" w:cs="Times New Roman"/>
                <w:sz w:val="24"/>
                <w:szCs w:val="24"/>
              </w:rPr>
            </w:pPr>
          </w:p>
          <w:p w:rsidR="006972FA" w:rsidRPr="006972FA" w:rsidRDefault="006972FA" w:rsidP="006972FA">
            <w:pPr>
              <w:jc w:val="both"/>
              <w:rPr>
                <w:rFonts w:ascii="Times New Roman" w:hAnsi="Times New Roman" w:cs="Times New Roman"/>
                <w:sz w:val="24"/>
                <w:szCs w:val="24"/>
              </w:rPr>
            </w:pPr>
            <w:r w:rsidRPr="006972FA">
              <w:rPr>
                <w:rFonts w:ascii="Times New Roman" w:hAnsi="Times New Roman" w:cs="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6972FA" w:rsidRPr="006972FA" w:rsidTr="001817AA">
        <w:trPr>
          <w:trHeight w:val="60"/>
        </w:trPr>
        <w:tc>
          <w:tcPr>
            <w:tcW w:w="407" w:type="dxa"/>
            <w:shd w:val="clear" w:color="FFFFFF" w:fill="auto"/>
            <w:vAlign w:val="center"/>
          </w:tcPr>
          <w:p w:rsidR="006972FA" w:rsidRPr="006972FA" w:rsidRDefault="006972FA" w:rsidP="006972FA">
            <w:pPr>
              <w:rPr>
                <w:rFonts w:cs="Times New Roman"/>
                <w:szCs w:val="16"/>
              </w:rPr>
            </w:pPr>
          </w:p>
        </w:tc>
        <w:tc>
          <w:tcPr>
            <w:tcW w:w="564" w:type="dxa"/>
            <w:shd w:val="clear" w:color="FFFFFF" w:fill="FFFF00"/>
            <w:vAlign w:val="center"/>
          </w:tcPr>
          <w:p w:rsidR="006972FA" w:rsidRPr="006972FA" w:rsidRDefault="006972FA" w:rsidP="006972FA">
            <w:pPr>
              <w:jc w:val="center"/>
              <w:rPr>
                <w:rFonts w:ascii="Times New Roman" w:hAnsi="Times New Roman" w:cs="Times New Roman"/>
                <w:i/>
                <w:sz w:val="24"/>
                <w:szCs w:val="24"/>
              </w:rPr>
            </w:pPr>
            <w:r w:rsidRPr="006972FA">
              <w:rPr>
                <w:rFonts w:ascii="Times New Roman" w:hAnsi="Times New Roman" w:cs="Times New Roman"/>
                <w:i/>
                <w:sz w:val="24"/>
                <w:szCs w:val="24"/>
              </w:rPr>
              <w:t>*</w:t>
            </w:r>
          </w:p>
        </w:tc>
        <w:tc>
          <w:tcPr>
            <w:tcW w:w="13395" w:type="dxa"/>
            <w:gridSpan w:val="13"/>
            <w:shd w:val="clear" w:color="FFFFFF" w:fill="auto"/>
            <w:vAlign w:val="center"/>
          </w:tcPr>
          <w:p w:rsidR="006972FA" w:rsidRPr="006972FA" w:rsidRDefault="006972FA" w:rsidP="006972FA">
            <w:pPr>
              <w:rPr>
                <w:rFonts w:ascii="Times New Roman" w:hAnsi="Times New Roman" w:cs="Times New Roman"/>
                <w:i/>
                <w:sz w:val="24"/>
                <w:szCs w:val="24"/>
              </w:rPr>
            </w:pPr>
            <w:r w:rsidRPr="006972FA">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ECC" w:rsidRDefault="005E5ECC">
      <w:pPr>
        <w:spacing w:after="0" w:line="240" w:lineRule="auto"/>
      </w:pPr>
      <w:r>
        <w:separator/>
      </w:r>
    </w:p>
  </w:endnote>
  <w:endnote w:type="continuationSeparator" w:id="0">
    <w:p w:rsidR="005E5ECC" w:rsidRDefault="005E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071BB" w:rsidRDefault="00B071B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071BB">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071BB">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071B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071B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071BB">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6972FA">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ECC" w:rsidRDefault="005E5ECC">
      <w:pPr>
        <w:spacing w:after="0" w:line="240" w:lineRule="auto"/>
      </w:pPr>
      <w:r>
        <w:separator/>
      </w:r>
    </w:p>
  </w:footnote>
  <w:footnote w:type="continuationSeparator" w:id="0">
    <w:p w:rsidR="005E5ECC" w:rsidRDefault="005E5EC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071BB" w:rsidRDefault="00B071B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071BB" w:rsidRDefault="00B071B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071BB" w:rsidRDefault="00B071B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E5ECC"/>
    <w:rsid w:val="005F153F"/>
    <w:rsid w:val="00603FC0"/>
    <w:rsid w:val="00623487"/>
    <w:rsid w:val="00632D4D"/>
    <w:rsid w:val="00637F5D"/>
    <w:rsid w:val="006420B2"/>
    <w:rsid w:val="00642D06"/>
    <w:rsid w:val="006474B5"/>
    <w:rsid w:val="00650AB9"/>
    <w:rsid w:val="00680267"/>
    <w:rsid w:val="00680B51"/>
    <w:rsid w:val="00683724"/>
    <w:rsid w:val="00692F2A"/>
    <w:rsid w:val="006972F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1BB"/>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6972FA"/>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6972FA"/>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A2439-80C0-4B25-AA48-5D2E7EFE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1098</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2021-10-14T08:25:00Z</dcterms:created>
  <dcterms:modified xsi:type="dcterms:W3CDTF">2021-10-14T08:25:00Z</dcterms:modified>
</cp:coreProperties>
</file>