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18.05.2026 № 05-07/1088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30B6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отделения эндоскопии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421"/>
        <w:gridCol w:w="1273"/>
        <w:gridCol w:w="1011"/>
        <w:gridCol w:w="3640"/>
        <w:gridCol w:w="1276"/>
        <w:gridCol w:w="992"/>
        <w:gridCol w:w="2268"/>
        <w:gridCol w:w="852"/>
        <w:gridCol w:w="1132"/>
        <w:gridCol w:w="992"/>
        <w:gridCol w:w="711"/>
        <w:gridCol w:w="708"/>
        <w:gridCol w:w="673"/>
      </w:tblGrid>
      <w:tr w:rsidR="00720C5F" w:rsidRPr="00720C5F" w:rsidTr="00720C5F">
        <w:trPr>
          <w:trHeight w:val="402"/>
        </w:trPr>
        <w:tc>
          <w:tcPr>
            <w:tcW w:w="3411" w:type="pct"/>
            <w:gridSpan w:val="7"/>
            <w:tcBorders>
              <w:top w:val="single" w:sz="8" w:space="0" w:color="auto"/>
              <w:left w:val="single" w:sz="8" w:space="0" w:color="auto"/>
              <w:bottom w:val="single" w:sz="8" w:space="0" w:color="auto"/>
              <w:right w:val="single" w:sz="8" w:space="0" w:color="000000"/>
            </w:tcBorders>
            <w:shd w:val="clear" w:color="auto" w:fill="auto"/>
            <w:vAlign w:val="center"/>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p>
        </w:tc>
        <w:tc>
          <w:tcPr>
            <w:tcW w:w="622" w:type="pct"/>
            <w:gridSpan w:val="2"/>
            <w:tcBorders>
              <w:top w:val="single" w:sz="8" w:space="0" w:color="auto"/>
              <w:left w:val="nil"/>
              <w:bottom w:val="single" w:sz="8" w:space="0" w:color="auto"/>
              <w:right w:val="single" w:sz="4" w:space="0" w:color="000000"/>
            </w:tcBorders>
            <w:shd w:val="clear" w:color="auto" w:fill="auto"/>
            <w:noWrap/>
            <w:vAlign w:val="center"/>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r w:rsidRPr="00720C5F">
              <w:rPr>
                <w:rFonts w:ascii="Times New Roman" w:eastAsia="Times New Roman" w:hAnsi="Times New Roman" w:cs="Times New Roman"/>
                <w:b/>
                <w:color w:val="000000"/>
                <w:lang w:eastAsia="ru-RU"/>
              </w:rPr>
              <w:t>Страна происхождения товара</w:t>
            </w:r>
          </w:p>
        </w:tc>
        <w:tc>
          <w:tcPr>
            <w:tcW w:w="22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r w:rsidRPr="00720C5F">
              <w:rPr>
                <w:rFonts w:ascii="Times New Roman" w:eastAsia="Times New Roman" w:hAnsi="Times New Roman" w:cs="Times New Roman"/>
                <w:b/>
                <w:color w:val="000000"/>
                <w:lang w:eastAsia="ru-RU"/>
              </w:rPr>
              <w:t>Ставка НДС%</w:t>
            </w:r>
          </w:p>
        </w:tc>
        <w:tc>
          <w:tcPr>
            <w:tcW w:w="22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r w:rsidRPr="00720C5F">
              <w:rPr>
                <w:rFonts w:ascii="Times New Roman" w:eastAsia="Times New Roman" w:hAnsi="Times New Roman" w:cs="Times New Roman"/>
                <w:b/>
                <w:color w:val="000000"/>
                <w:lang w:eastAsia="ru-RU"/>
              </w:rPr>
              <w:t>Цена за ед. без НДС</w:t>
            </w:r>
          </w:p>
        </w:tc>
        <w:tc>
          <w:tcPr>
            <w:tcW w:w="21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r w:rsidRPr="00720C5F">
              <w:rPr>
                <w:rFonts w:ascii="Times New Roman" w:eastAsia="Times New Roman" w:hAnsi="Times New Roman" w:cs="Times New Roman"/>
                <w:b/>
                <w:color w:val="000000"/>
                <w:lang w:eastAsia="ru-RU"/>
              </w:rPr>
              <w:t>Сумма без НДС</w:t>
            </w:r>
          </w:p>
        </w:tc>
      </w:tr>
      <w:tr w:rsidR="00720C5F" w:rsidRPr="00720C5F" w:rsidTr="00720C5F">
        <w:trPr>
          <w:trHeight w:val="402"/>
        </w:trPr>
        <w:tc>
          <w:tcPr>
            <w:tcW w:w="132"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r w:rsidRPr="00720C5F">
              <w:rPr>
                <w:rFonts w:ascii="Times New Roman" w:eastAsia="Times New Roman" w:hAnsi="Times New Roman" w:cs="Times New Roman"/>
                <w:b/>
                <w:color w:val="000000"/>
                <w:lang w:eastAsia="ru-RU"/>
              </w:rPr>
              <w:t>№ п/п</w:t>
            </w:r>
          </w:p>
        </w:tc>
        <w:tc>
          <w:tcPr>
            <w:tcW w:w="399"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r w:rsidRPr="00720C5F">
              <w:rPr>
                <w:rFonts w:ascii="Times New Roman" w:eastAsia="Times New Roman" w:hAnsi="Times New Roman" w:cs="Times New Roman"/>
                <w:b/>
                <w:color w:val="000000"/>
                <w:lang w:eastAsia="ru-RU"/>
              </w:rPr>
              <w:t>Наименование товара, работы, услуги</w:t>
            </w:r>
          </w:p>
        </w:tc>
        <w:tc>
          <w:tcPr>
            <w:tcW w:w="317"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r w:rsidRPr="00720C5F">
              <w:rPr>
                <w:rFonts w:ascii="Times New Roman" w:eastAsia="Times New Roman" w:hAnsi="Times New Roman" w:cs="Times New Roman"/>
                <w:b/>
                <w:color w:val="000000"/>
                <w:lang w:eastAsia="ru-RU"/>
              </w:rPr>
              <w:t>Код позиции КТРУ или ОКПД2</w:t>
            </w:r>
          </w:p>
        </w:tc>
        <w:tc>
          <w:tcPr>
            <w:tcW w:w="2563" w:type="pct"/>
            <w:gridSpan w:val="4"/>
            <w:tcBorders>
              <w:top w:val="single" w:sz="8" w:space="0" w:color="auto"/>
              <w:left w:val="nil"/>
              <w:bottom w:val="single" w:sz="8" w:space="0" w:color="auto"/>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r w:rsidRPr="00720C5F">
              <w:rPr>
                <w:rFonts w:ascii="Times New Roman" w:eastAsia="Times New Roman" w:hAnsi="Times New Roman" w:cs="Times New Roman"/>
                <w:b/>
                <w:color w:val="000000"/>
                <w:lang w:eastAsia="ru-RU"/>
              </w:rPr>
              <w:t>Характеристики товара, работы, услуги</w:t>
            </w:r>
          </w:p>
        </w:tc>
        <w:tc>
          <w:tcPr>
            <w:tcW w:w="2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r w:rsidRPr="00720C5F">
              <w:rPr>
                <w:rFonts w:ascii="Times New Roman" w:eastAsia="Times New Roman" w:hAnsi="Times New Roman" w:cs="Times New Roman"/>
                <w:b/>
                <w:color w:val="000000"/>
                <w:lang w:eastAsia="ru-RU"/>
              </w:rPr>
              <w:t>Количество</w:t>
            </w:r>
          </w:p>
        </w:tc>
        <w:tc>
          <w:tcPr>
            <w:tcW w:w="355" w:type="pct"/>
            <w:vMerge w:val="restart"/>
            <w:tcBorders>
              <w:top w:val="nil"/>
              <w:left w:val="single" w:sz="8" w:space="0" w:color="auto"/>
              <w:bottom w:val="single" w:sz="8" w:space="0" w:color="000000"/>
              <w:right w:val="nil"/>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b/>
                <w:color w:val="000000"/>
                <w:lang w:eastAsia="ru-RU"/>
              </w:rPr>
            </w:pPr>
            <w:r w:rsidRPr="00720C5F">
              <w:rPr>
                <w:rFonts w:ascii="Times New Roman" w:eastAsia="Times New Roman" w:hAnsi="Times New Roman" w:cs="Times New Roman"/>
                <w:b/>
                <w:color w:val="000000"/>
                <w:lang w:eastAsia="ru-RU"/>
              </w:rPr>
              <w:t>Единица измерения</w:t>
            </w: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b/>
                <w:color w:val="000000"/>
                <w:lang w:eastAsia="ru-RU"/>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b/>
                <w:color w:val="000000"/>
                <w:lang w:eastAsia="ru-RU"/>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b/>
                <w:color w:val="000000"/>
                <w:lang w:eastAsia="ru-RU"/>
              </w:rPr>
            </w:pPr>
          </w:p>
        </w:tc>
        <w:tc>
          <w:tcPr>
            <w:tcW w:w="211" w:type="pct"/>
            <w:vMerge/>
            <w:tcBorders>
              <w:top w:val="single" w:sz="4" w:space="0" w:color="auto"/>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b/>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Наименование характеристики</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Единица измерения характеристики</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Инструкция по заполнению характеристик в заявке</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single" w:sz="4" w:space="0" w:color="auto"/>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1</w:t>
            </w:r>
          </w:p>
        </w:tc>
        <w:tc>
          <w:tcPr>
            <w:tcW w:w="399"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Загубник</w:t>
            </w:r>
          </w:p>
        </w:tc>
        <w:tc>
          <w:tcPr>
            <w:tcW w:w="317"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32.50.13.190</w:t>
            </w: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Описание: Принадлежность для защиты зубов пациента и гибких эндоскопов при выполнении эндоскопических вмешательств на верхних отделах ЖКТ</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hideMark/>
          </w:tcPr>
          <w:p w:rsidR="00720C5F" w:rsidRPr="00720C5F" w:rsidRDefault="00720C5F" w:rsidP="00720C5F">
            <w:pPr>
              <w:spacing w:after="0" w:line="240" w:lineRule="auto"/>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val="restart"/>
            <w:tcBorders>
              <w:top w:val="nil"/>
              <w:left w:val="nil"/>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2</w:t>
            </w:r>
          </w:p>
        </w:tc>
        <w:tc>
          <w:tcPr>
            <w:tcW w:w="355" w:type="pct"/>
            <w:vMerge w:val="restart"/>
            <w:tcBorders>
              <w:top w:val="nil"/>
              <w:left w:val="single" w:sz="8" w:space="0" w:color="auto"/>
              <w:bottom w:val="single" w:sz="8" w:space="0" w:color="000000"/>
              <w:right w:val="nil"/>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xml:space="preserve">Упак </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2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Длина</w:t>
            </w:r>
          </w:p>
        </w:tc>
        <w:tc>
          <w:tcPr>
            <w:tcW w:w="400"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85   ≤ 95</w:t>
            </w:r>
          </w:p>
        </w:tc>
        <w:tc>
          <w:tcPr>
            <w:tcW w:w="31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Высота</w:t>
            </w:r>
          </w:p>
        </w:tc>
        <w:tc>
          <w:tcPr>
            <w:tcW w:w="400"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50   ≤ 55</w:t>
            </w:r>
          </w:p>
        </w:tc>
        <w:tc>
          <w:tcPr>
            <w:tcW w:w="31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Глубина</w:t>
            </w:r>
          </w:p>
        </w:tc>
        <w:tc>
          <w:tcPr>
            <w:tcW w:w="400"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23   ≤ 27</w:t>
            </w:r>
          </w:p>
        </w:tc>
        <w:tc>
          <w:tcPr>
            <w:tcW w:w="31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Тип ремешка</w:t>
            </w:r>
          </w:p>
        </w:tc>
        <w:tc>
          <w:tcPr>
            <w:tcW w:w="400"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Тканевый</w:t>
            </w:r>
          </w:p>
        </w:tc>
        <w:tc>
          <w:tcPr>
            <w:tcW w:w="31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Не содержит латекс</w:t>
            </w:r>
          </w:p>
        </w:tc>
        <w:tc>
          <w:tcPr>
            <w:tcW w:w="400"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Соответствие</w:t>
            </w:r>
          </w:p>
        </w:tc>
        <w:tc>
          <w:tcPr>
            <w:tcW w:w="31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c протекторами для зубов, обеспечивающими удобство и безопасность пациенту при исследовании</w:t>
            </w:r>
          </w:p>
        </w:tc>
        <w:tc>
          <w:tcPr>
            <w:tcW w:w="400"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Соответствие</w:t>
            </w:r>
          </w:p>
        </w:tc>
        <w:tc>
          <w:tcPr>
            <w:tcW w:w="31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эргономичная изогнутая форма для достижения комфортного (для пациента) положения загубника в области носогубного треугольника</w:t>
            </w:r>
          </w:p>
        </w:tc>
        <w:tc>
          <w:tcPr>
            <w:tcW w:w="400"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Соответствие</w:t>
            </w:r>
          </w:p>
        </w:tc>
        <w:tc>
          <w:tcPr>
            <w:tcW w:w="31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центральное отверстие прямоугольной формы с закругленными углами, предназначенное для проведения гибкого эндоскопа; два боковых отверстия, предназначенные для эвакуации слюны из ротовой полости в процессе эндоскопической процедуры, что предотвращает ее аспирацию</w:t>
            </w:r>
          </w:p>
        </w:tc>
        <w:tc>
          <w:tcPr>
            <w:tcW w:w="400"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Соответствие</w:t>
            </w:r>
          </w:p>
        </w:tc>
        <w:tc>
          <w:tcPr>
            <w:tcW w:w="31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Индивидуальная упаковка с указанием артикульного номера, страны происхождения и срока эксплуатационной пригодности</w:t>
            </w:r>
          </w:p>
        </w:tc>
        <w:tc>
          <w:tcPr>
            <w:tcW w:w="400"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Соответствие</w:t>
            </w:r>
          </w:p>
        </w:tc>
        <w:tc>
          <w:tcPr>
            <w:tcW w:w="31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Изделие однократного применения</w:t>
            </w:r>
          </w:p>
        </w:tc>
        <w:tc>
          <w:tcPr>
            <w:tcW w:w="400"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Соответствие</w:t>
            </w:r>
          </w:p>
        </w:tc>
        <w:tc>
          <w:tcPr>
            <w:tcW w:w="31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Количество в упаковке</w:t>
            </w:r>
          </w:p>
        </w:tc>
        <w:tc>
          <w:tcPr>
            <w:tcW w:w="400"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200</w:t>
            </w:r>
          </w:p>
        </w:tc>
        <w:tc>
          <w:tcPr>
            <w:tcW w:w="311" w:type="pct"/>
            <w:tcBorders>
              <w:top w:val="nil"/>
              <w:left w:val="nil"/>
              <w:bottom w:val="single" w:sz="8" w:space="0" w:color="000000"/>
              <w:right w:val="single" w:sz="8" w:space="0" w:color="000000"/>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шт</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Срок эксплуатационной пригодности не менее 12 месяцев</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w:t>
            </w:r>
          </w:p>
        </w:tc>
        <w:tc>
          <w:tcPr>
            <w:tcW w:w="711" w:type="pct"/>
            <w:tcBorders>
              <w:top w:val="nil"/>
              <w:left w:val="nil"/>
              <w:bottom w:val="nil"/>
              <w:right w:val="nil"/>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2</w:t>
            </w:r>
          </w:p>
        </w:tc>
        <w:tc>
          <w:tcPr>
            <w:tcW w:w="399"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Защитный колпачок для хранения эндоскопов</w:t>
            </w:r>
          </w:p>
        </w:tc>
        <w:tc>
          <w:tcPr>
            <w:tcW w:w="317"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32.50.13.190</w:t>
            </w: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Описание: Защитный колпачок предназначен для защиты дистального конца гибких эндоскопов после их окончательной обработки и переноса в шкаф для хранения</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single" w:sz="8" w:space="0" w:color="auto"/>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val="restart"/>
            <w:tcBorders>
              <w:top w:val="nil"/>
              <w:left w:val="nil"/>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600</w:t>
            </w:r>
          </w:p>
        </w:tc>
        <w:tc>
          <w:tcPr>
            <w:tcW w:w="355" w:type="pct"/>
            <w:vMerge w:val="restart"/>
            <w:tcBorders>
              <w:top w:val="nil"/>
              <w:left w:val="single" w:sz="8" w:space="0" w:color="auto"/>
              <w:bottom w:val="single" w:sz="8" w:space="0" w:color="000000"/>
              <w:right w:val="nil"/>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Шт</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2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Материал колпачка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Поролон</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Индивидуальная упаковка с указанием артикульного номера, страны происхождения и срока годности</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Изделие однократного применения</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Срок стерильности не менее 12 месяцев</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w:t>
            </w:r>
          </w:p>
        </w:tc>
        <w:tc>
          <w:tcPr>
            <w:tcW w:w="711" w:type="pct"/>
            <w:tcBorders>
              <w:top w:val="nil"/>
              <w:left w:val="nil"/>
              <w:bottom w:val="nil"/>
              <w:right w:val="nil"/>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Значение характеристики не может изменяться участником закупки</w:t>
            </w:r>
          </w:p>
        </w:tc>
        <w:tc>
          <w:tcPr>
            <w:tcW w:w="267" w:type="pct"/>
            <w:vMerge/>
            <w:tcBorders>
              <w:top w:val="nil"/>
              <w:left w:val="nil"/>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3</w:t>
            </w:r>
          </w:p>
        </w:tc>
        <w:tc>
          <w:tcPr>
            <w:tcW w:w="399"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Клип-аппликатор эндоскопический</w:t>
            </w:r>
          </w:p>
        </w:tc>
        <w:tc>
          <w:tcPr>
            <w:tcW w:w="317"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32.50.13.190</w:t>
            </w: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Описание: Гибкий ручной инструмент, предназначенный для установки зажимной клипсы в пищеварительном тракте с целью механической остановки кровотечений, сведения краев тканей.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single" w:sz="8" w:space="0" w:color="auto"/>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200</w:t>
            </w:r>
          </w:p>
        </w:tc>
        <w:tc>
          <w:tcPr>
            <w:tcW w:w="355" w:type="pct"/>
            <w:vMerge w:val="restart"/>
            <w:tcBorders>
              <w:top w:val="nil"/>
              <w:left w:val="single" w:sz="8" w:space="0" w:color="auto"/>
              <w:bottom w:val="single" w:sz="8" w:space="0" w:color="000000"/>
              <w:right w:val="nil"/>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шт</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2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Область применения ЖКТ</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Диаметр инструмента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&gt; 2,25 и  ≤ 2,3</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Длина инструмента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&gt; 2290 и  ≤ 2340</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Совместимость с рабочим каналом эндоскопа (минимальный диаметр)</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2,8</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Ширина раскрытия клипсы (Диаметр захвата ткани)</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&gt;  10 и  ≤ 11</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Количество циклов открытия/закрытия клипсы (минимальное)</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30</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шт</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Сила сжатия бранш клипсы</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0,3</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Н</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Размещение в желудочно-кишечном тракте не превышает 30 дней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Вращение инструмента на 360° только против часовой стрелки</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 гибкой дистальной частью боудена для исключения излишнего напряжения на дистальную поворотную часть эндоскопа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Повышенная гибкость катетера для легкого введения при сильных изгибах эндоскопа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Дистальная часть тубуса отшлифована до однородной, гладкой поверхности для быстрого и безопасного прохождения изгибов эндоскопа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Индивидуальная упаковка с указанием артикульного номера, производителя, страны происхождения и срока годности</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Изделие однократного применения</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Срок стерильности не менее 12 месяцев</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4</w:t>
            </w:r>
          </w:p>
        </w:tc>
        <w:tc>
          <w:tcPr>
            <w:tcW w:w="399"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Изделия для ручной очистки каналов эндоскопов в наборах</w:t>
            </w:r>
          </w:p>
        </w:tc>
        <w:tc>
          <w:tcPr>
            <w:tcW w:w="317"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32.50.13.190</w:t>
            </w: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Диаметр катетера щетки чистящей двойной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&gt; 1,6 и ≤ 1,8</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350</w:t>
            </w:r>
          </w:p>
        </w:tc>
        <w:tc>
          <w:tcPr>
            <w:tcW w:w="355" w:type="pct"/>
            <w:vMerge w:val="restart"/>
            <w:tcBorders>
              <w:top w:val="nil"/>
              <w:left w:val="single" w:sz="8" w:space="0" w:color="auto"/>
              <w:bottom w:val="single" w:sz="8" w:space="0" w:color="000000"/>
              <w:right w:val="nil"/>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шт</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2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Общая длина щетки чистящей двойной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&gt; 2150 и ≤ 2240</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Диаметр щетины и силиконовых дисков первой стороны щетки чистящей двойной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&gt; 4,8 и ≤ 5,2</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Диаметр щетины и силиконовых дисков второй стороны щетки чистящей двойной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&gt;  4,8 и ≤ 5,2</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Длина щетины и силиконовых дисков первой стороны щетки чистящей двойной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&gt; 23 и ≤ 27</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Длина щетины и силиконовых дисков второй стороны щетки чистящей двойной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&gt; 28 и ≤ 32</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Диаметр щетины первой стороны щетки чистящей для клапанов двойной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&gt; 10 и ≤ 12</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Диаметр щетины в торой стороны щетки чистящей для клапанов двойной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&gt; 4 и ≤ 6</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Общая длина щетки чистящей для клапанов двойной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&gt; 145 и ≤ 155</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Тип щетки</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Длинная (для очистки инструментального канала), Короткая (для очистки клапанов)</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Индивидуальная упаковка комплекта с указанием артикульного номера, страны происхождения и срока эксплуатационной пригодности</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Наличие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Состав комплекта: щетка чистящая двойная; щетка чистящая для клапанов двойная.</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Наличие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Изделие однократного применения</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Да</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Срок эксплуатационной пригодности не менее 12 месяцев</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5</w:t>
            </w:r>
          </w:p>
        </w:tc>
        <w:tc>
          <w:tcPr>
            <w:tcW w:w="399"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Щетка цитологическая к эндоскопу гибкая, одноразового использования</w:t>
            </w:r>
          </w:p>
        </w:tc>
        <w:tc>
          <w:tcPr>
            <w:tcW w:w="317"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32.50.13.190-00007123**</w:t>
            </w: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Описание: Эндотерапевтичесоке устройство, предназначенное для использования в сочетании с совместимым гибким эндоскопом с целью сбора клеток слизистой оболочки для патологического диагноза во время эндоскопии. Вводится через рабочий канал эндоскопа и состоит из гибкой вводной части, изготовленной из металлической спирали или пластимассовой трубки, дистальный конец которой оснащен пластмассовыми щетинками для сбора образцов слизистой оболочки, например, во время бронхоскопии. Это изделие разового использования.</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val="restart"/>
            <w:tcBorders>
              <w:top w:val="nil"/>
              <w:left w:val="single" w:sz="8" w:space="0" w:color="auto"/>
              <w:bottom w:val="single" w:sz="8" w:space="0" w:color="000000"/>
              <w:right w:val="single" w:sz="8" w:space="0" w:color="auto"/>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20</w:t>
            </w:r>
          </w:p>
        </w:tc>
        <w:tc>
          <w:tcPr>
            <w:tcW w:w="355" w:type="pct"/>
            <w:vMerge w:val="restart"/>
            <w:tcBorders>
              <w:top w:val="nil"/>
              <w:left w:val="single" w:sz="8" w:space="0" w:color="auto"/>
              <w:bottom w:val="single" w:sz="8" w:space="0" w:color="000000"/>
              <w:right w:val="nil"/>
            </w:tcBorders>
            <w:shd w:val="clear" w:color="auto" w:fill="auto"/>
            <w:vAlign w:val="center"/>
            <w:hideMark/>
          </w:tcPr>
          <w:p w:rsidR="00720C5F" w:rsidRPr="00720C5F" w:rsidRDefault="00720C5F" w:rsidP="00720C5F">
            <w:pPr>
              <w:spacing w:after="0" w:line="240" w:lineRule="auto"/>
              <w:jc w:val="center"/>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xml:space="preserve">Шт </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2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c>
          <w:tcPr>
            <w:tcW w:w="2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20C5F" w:rsidRPr="00720C5F" w:rsidRDefault="00720C5F" w:rsidP="00720C5F">
            <w:pPr>
              <w:spacing w:after="0" w:line="240" w:lineRule="auto"/>
              <w:jc w:val="center"/>
              <w:rPr>
                <w:rFonts w:ascii="Calibri" w:eastAsia="Times New Roman" w:hAnsi="Calibri" w:cs="Times New Roman"/>
                <w:color w:val="000000"/>
                <w:lang w:eastAsia="ru-RU"/>
              </w:rPr>
            </w:pPr>
            <w:r w:rsidRPr="00720C5F">
              <w:rPr>
                <w:rFonts w:ascii="Calibri" w:eastAsia="Times New Roman" w:hAnsi="Calibri" w:cs="Times New Roman"/>
                <w:color w:val="000000"/>
                <w:lang w:eastAsia="ru-RU"/>
              </w:rPr>
              <w:t> </w:t>
            </w: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Диаметр инструмента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 1,75  ≤ 1,80</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Длина инструмента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&gt; 1190  ≤ 1240</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Длина щеточки</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&gt; 11  ≤ 13</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Совместимость с рабочим каналом эндоскопа (минимальный диаметр)</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 2,0</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мм</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в комплекте с ручкой, с возможностью вращения на 360 градусов</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с возможностью изгибания рабочей части на 45 градусов для забора проб из трудно доступных участков слизистой</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щетка на дистальном конце инструмента полностью убирается в просвет катетера для гарантированного сохранения пробы во время извлечения инструмента из эндоскопа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c гибкой дистальной частью боудена для исключения излишнего напряжения на дистальную поворотную часть эндоскопа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повышенная гибкость катетера для легкого введения при сильных изгибах эндоскопа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дистальная часть тубуса отшлифована до однородной, гладкой поверхности для быстрого и безопасного прохождения изгибов эндоскопа</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Индивидуальная упаковка с указанием артикульного номера, страны происхождения и срока годности</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Изделие однократного применения</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20"/>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r w:rsidR="00720C5F" w:rsidRPr="00720C5F" w:rsidTr="00720C5F">
        <w:trPr>
          <w:trHeight w:val="402"/>
        </w:trPr>
        <w:tc>
          <w:tcPr>
            <w:tcW w:w="132"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99"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114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Срок стерильности не менее 12 месяцев</w:t>
            </w:r>
          </w:p>
        </w:tc>
        <w:tc>
          <w:tcPr>
            <w:tcW w:w="400"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Соответствие</w:t>
            </w:r>
          </w:p>
        </w:tc>
        <w:tc>
          <w:tcPr>
            <w:tcW w:w="3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r w:rsidRPr="00720C5F">
              <w:rPr>
                <w:rFonts w:ascii="Times New Roman" w:eastAsia="Times New Roman" w:hAnsi="Times New Roman" w:cs="Times New Roman"/>
                <w:color w:val="000000"/>
                <w:szCs w:val="18"/>
                <w:lang w:eastAsia="ru-RU"/>
              </w:rPr>
              <w:t>Значение характеристики не может изменяться участником закупки</w:t>
            </w:r>
          </w:p>
        </w:tc>
        <w:tc>
          <w:tcPr>
            <w:tcW w:w="267" w:type="pct"/>
            <w:vMerge/>
            <w:tcBorders>
              <w:top w:val="nil"/>
              <w:left w:val="single" w:sz="8" w:space="0" w:color="auto"/>
              <w:bottom w:val="single" w:sz="8" w:space="0" w:color="000000"/>
              <w:right w:val="single" w:sz="8" w:space="0" w:color="auto"/>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55" w:type="pct"/>
            <w:vMerge/>
            <w:tcBorders>
              <w:top w:val="nil"/>
              <w:left w:val="single" w:sz="8" w:space="0" w:color="auto"/>
              <w:bottom w:val="single" w:sz="8" w:space="0" w:color="000000"/>
              <w:right w:val="nil"/>
            </w:tcBorders>
            <w:vAlign w:val="center"/>
            <w:hideMark/>
          </w:tcPr>
          <w:p w:rsidR="00720C5F" w:rsidRPr="00720C5F" w:rsidRDefault="00720C5F" w:rsidP="00720C5F">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c>
          <w:tcPr>
            <w:tcW w:w="211" w:type="pct"/>
            <w:vMerge/>
            <w:tcBorders>
              <w:top w:val="nil"/>
              <w:left w:val="single" w:sz="4" w:space="0" w:color="auto"/>
              <w:bottom w:val="single" w:sz="4" w:space="0" w:color="000000"/>
              <w:right w:val="single" w:sz="4" w:space="0" w:color="auto"/>
            </w:tcBorders>
            <w:vAlign w:val="center"/>
            <w:hideMark/>
          </w:tcPr>
          <w:p w:rsidR="00720C5F" w:rsidRPr="00720C5F" w:rsidRDefault="00720C5F" w:rsidP="00720C5F">
            <w:pPr>
              <w:spacing w:after="0" w:line="240" w:lineRule="auto"/>
              <w:rPr>
                <w:rFonts w:ascii="Calibri" w:eastAsia="Times New Roman" w:hAnsi="Calibri" w:cs="Times New Roman"/>
                <w:color w:val="000000"/>
                <w:lang w:eastAsia="ru-RU"/>
              </w:rPr>
            </w:pPr>
          </w:p>
        </w:tc>
      </w:tr>
    </w:tbl>
    <w:p w:rsidR="00720C5F" w:rsidRDefault="00720C5F" w:rsidP="00720C5F">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720C5F">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720C5F">
        <w:rPr>
          <w:rFonts w:ascii="Roboto" w:hAnsi="Roboto" w:cs="Roboto"/>
          <w:color w:val="333333"/>
          <w:highlight w:val="white"/>
        </w:rPr>
        <w:t xml:space="preserve"> </w:t>
      </w:r>
      <w:r>
        <w:rPr>
          <w:rFonts w:ascii="Calibri" w:hAnsi="Calibri" w:cs="Calibri"/>
          <w:color w:val="333333"/>
          <w:highlight w:val="white"/>
        </w:rPr>
        <w:t>России</w:t>
      </w:r>
      <w:r w:rsidRPr="00720C5F">
        <w:rPr>
          <w:rFonts w:ascii="Roboto" w:hAnsi="Roboto" w:cs="Roboto"/>
          <w:color w:val="333333"/>
          <w:highlight w:val="white"/>
        </w:rPr>
        <w:t xml:space="preserve"> </w:t>
      </w:r>
      <w:r>
        <w:rPr>
          <w:rFonts w:ascii="Calibri" w:hAnsi="Calibri" w:cs="Calibri"/>
          <w:color w:val="333333"/>
          <w:highlight w:val="white"/>
        </w:rPr>
        <w:t>от</w:t>
      </w:r>
      <w:r w:rsidRPr="00720C5F">
        <w:rPr>
          <w:rFonts w:ascii="Roboto" w:hAnsi="Roboto" w:cs="Roboto"/>
          <w:color w:val="333333"/>
          <w:highlight w:val="white"/>
        </w:rPr>
        <w:t xml:space="preserve"> 24 </w:t>
      </w:r>
      <w:r>
        <w:rPr>
          <w:rFonts w:ascii="Calibri" w:hAnsi="Calibri" w:cs="Calibri"/>
          <w:color w:val="333333"/>
          <w:highlight w:val="white"/>
        </w:rPr>
        <w:t>января</w:t>
      </w:r>
      <w:r w:rsidRPr="00720C5F">
        <w:rPr>
          <w:rFonts w:ascii="Roboto" w:hAnsi="Roboto" w:cs="Roboto"/>
          <w:color w:val="333333"/>
          <w:highlight w:val="white"/>
        </w:rPr>
        <w:t xml:space="preserve"> 2022 </w:t>
      </w:r>
      <w:r>
        <w:rPr>
          <w:rFonts w:ascii="Calibri" w:hAnsi="Calibri" w:cs="Calibri"/>
          <w:color w:val="333333"/>
          <w:highlight w:val="white"/>
        </w:rPr>
        <w:t>г</w:t>
      </w:r>
      <w:r w:rsidRPr="00720C5F">
        <w:rPr>
          <w:rFonts w:ascii="Roboto" w:hAnsi="Roboto" w:cs="Roboto"/>
          <w:color w:val="333333"/>
          <w:highlight w:val="white"/>
        </w:rPr>
        <w:t xml:space="preserve">. </w:t>
      </w:r>
      <w:r>
        <w:rPr>
          <w:rFonts w:ascii="Roboto" w:hAnsi="Roboto" w:cs="Roboto"/>
          <w:color w:val="333333"/>
          <w:highlight w:val="white"/>
          <w:lang w:val="en-US"/>
        </w:rPr>
        <w:t>N</w:t>
      </w:r>
      <w:r w:rsidRPr="00720C5F">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720C5F">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023" w:rsidRDefault="008C6023">
      <w:pPr>
        <w:spacing w:after="0" w:line="240" w:lineRule="auto"/>
      </w:pPr>
      <w:r>
        <w:separator/>
      </w:r>
    </w:p>
  </w:endnote>
  <w:endnote w:type="continuationSeparator" w:id="0">
    <w:p w:rsidR="008C6023" w:rsidRDefault="008C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0B6A" w:rsidRDefault="00F30B6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30B6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30B6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30B6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30B6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20C5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30B6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20C5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023" w:rsidRDefault="008C6023">
      <w:pPr>
        <w:spacing w:after="0" w:line="240" w:lineRule="auto"/>
      </w:pPr>
      <w:r>
        <w:separator/>
      </w:r>
    </w:p>
  </w:footnote>
  <w:footnote w:type="continuationSeparator" w:id="0">
    <w:p w:rsidR="008C6023" w:rsidRDefault="008C602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0B6A" w:rsidRDefault="00F30B6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0B6A" w:rsidRDefault="00F30B6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0B6A" w:rsidRDefault="00F30B6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0C5F"/>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6023"/>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0B6A"/>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666975137">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190B-BF7E-45E3-946B-5F14DCE7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2522</Words>
  <Characters>14382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2026-05-18T13:57:00Z</dcterms:created>
  <dcterms:modified xsi:type="dcterms:W3CDTF">2026-05-18T13:57:00Z</dcterms:modified>
</cp:coreProperties>
</file>