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21.1-03/2416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7321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73F9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73F9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73F9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154"/>
        <w:gridCol w:w="4238"/>
        <w:gridCol w:w="1582"/>
        <w:gridCol w:w="866"/>
        <w:gridCol w:w="930"/>
        <w:gridCol w:w="1464"/>
        <w:gridCol w:w="781"/>
        <w:gridCol w:w="935"/>
        <w:gridCol w:w="1358"/>
      </w:tblGrid>
      <w:tr w:rsidR="00173F9F" w:rsidRPr="00495A53" w:rsidTr="00DE5506">
        <w:trPr>
          <w:trHeight w:val="20"/>
          <w:jc w:val="center"/>
        </w:trPr>
        <w:tc>
          <w:tcPr>
            <w:tcW w:w="640"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 п/п</w:t>
            </w:r>
          </w:p>
        </w:tc>
        <w:tc>
          <w:tcPr>
            <w:tcW w:w="3154"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Наименование товара</w:t>
            </w:r>
          </w:p>
        </w:tc>
        <w:tc>
          <w:tcPr>
            <w:tcW w:w="4238"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582"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ОКПД2/ КТРУ</w:t>
            </w:r>
          </w:p>
        </w:tc>
        <w:tc>
          <w:tcPr>
            <w:tcW w:w="866"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Ед. изм.</w:t>
            </w:r>
          </w:p>
        </w:tc>
        <w:tc>
          <w:tcPr>
            <w:tcW w:w="930" w:type="dxa"/>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Кол-во</w:t>
            </w:r>
          </w:p>
        </w:tc>
        <w:tc>
          <w:tcPr>
            <w:tcW w:w="1464" w:type="dxa"/>
            <w:shd w:val="clear" w:color="auto" w:fill="FFFFCC"/>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Страна происхождения</w:t>
            </w:r>
          </w:p>
        </w:tc>
        <w:tc>
          <w:tcPr>
            <w:tcW w:w="781" w:type="dxa"/>
            <w:shd w:val="clear" w:color="auto" w:fill="FFFFCC"/>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НДС %</w:t>
            </w:r>
          </w:p>
        </w:tc>
        <w:tc>
          <w:tcPr>
            <w:tcW w:w="935" w:type="dxa"/>
            <w:shd w:val="clear" w:color="auto" w:fill="FFFFCC"/>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173F9F" w:rsidRPr="00495A53" w:rsidRDefault="00173F9F" w:rsidP="00DE5506">
            <w:pPr>
              <w:spacing w:after="0" w:line="240" w:lineRule="auto"/>
              <w:jc w:val="center"/>
              <w:rPr>
                <w:rFonts w:ascii="Times New Roman" w:eastAsia="Times New Roman" w:hAnsi="Times New Roman" w:cs="Times New Roman"/>
                <w:b/>
                <w:lang w:eastAsia="ru-RU"/>
              </w:rPr>
            </w:pPr>
            <w:r w:rsidRPr="00495A53">
              <w:rPr>
                <w:rFonts w:ascii="Times New Roman" w:eastAsia="Times New Roman" w:hAnsi="Times New Roman" w:cs="Times New Roman"/>
                <w:b/>
                <w:lang w:eastAsia="ru-RU"/>
              </w:rPr>
              <w:t>Сумма без НДС (руб.)</w:t>
            </w:r>
          </w:p>
        </w:tc>
      </w:tr>
      <w:tr w:rsidR="00151A4D" w:rsidRPr="00495A53" w:rsidTr="00285013">
        <w:trPr>
          <w:trHeight w:val="20"/>
          <w:jc w:val="center"/>
        </w:trPr>
        <w:tc>
          <w:tcPr>
            <w:tcW w:w="640" w:type="dxa"/>
          </w:tcPr>
          <w:p w:rsidR="00151A4D" w:rsidRPr="00495A53" w:rsidRDefault="00151A4D" w:rsidP="00151A4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151A4D" w:rsidRPr="00151A4D" w:rsidRDefault="00151A4D" w:rsidP="00151A4D">
            <w:pPr>
              <w:spacing w:after="0" w:line="240" w:lineRule="auto"/>
              <w:jc w:val="center"/>
              <w:rPr>
                <w:rFonts w:ascii="Times New Roman" w:hAnsi="Times New Roman" w:cs="Times New Roman"/>
                <w:lang w:eastAsia="ru-RU"/>
              </w:rPr>
            </w:pPr>
            <w:r w:rsidRPr="00151A4D">
              <w:rPr>
                <w:rFonts w:ascii="Times New Roman" w:hAnsi="Times New Roman" w:cs="Times New Roman"/>
                <w:lang w:eastAsia="ru-RU"/>
              </w:rPr>
              <w:t>Мочевая кислота</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151A4D" w:rsidRPr="00151A4D" w:rsidRDefault="00151A4D" w:rsidP="00151A4D">
            <w:pPr>
              <w:spacing w:after="0" w:line="240" w:lineRule="auto"/>
              <w:rPr>
                <w:rFonts w:ascii="Times New Roman" w:hAnsi="Times New Roman" w:cs="Times New Roman"/>
                <w:lang w:eastAsia="ru-RU"/>
              </w:rPr>
            </w:pPr>
            <w:r w:rsidRPr="00151A4D">
              <w:rPr>
                <w:rFonts w:ascii="Times New Roman" w:hAnsi="Times New Roman" w:cs="Times New Roman"/>
                <w:lang w:eastAsia="ru-RU"/>
              </w:rPr>
              <w:t xml:space="preserve">Реагент для определения мочевой кислоты колориметрическим методом в сыворотке и плазме крови человека. </w:t>
            </w:r>
          </w:p>
          <w:p w:rsidR="007F578C" w:rsidRPr="00151A4D" w:rsidRDefault="00151A4D" w:rsidP="007F578C">
            <w:pPr>
              <w:spacing w:after="0" w:line="240" w:lineRule="auto"/>
              <w:rPr>
                <w:rFonts w:ascii="Times New Roman" w:hAnsi="Times New Roman" w:cs="Times New Roman"/>
                <w:b/>
                <w:lang w:eastAsia="ru-RU"/>
              </w:rPr>
            </w:pPr>
            <w:r w:rsidRPr="00151A4D">
              <w:rPr>
                <w:rFonts w:ascii="Times New Roman" w:hAnsi="Times New Roman" w:cs="Times New Roman"/>
                <w:lang w:eastAsia="ru-RU"/>
              </w:rPr>
              <w:t xml:space="preserve">Фасовка: не менее 640 тестов.                                                                   Совместим с 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   </w:t>
            </w:r>
          </w:p>
          <w:p w:rsidR="00151A4D" w:rsidRPr="00151A4D" w:rsidRDefault="00151A4D" w:rsidP="00151A4D">
            <w:pPr>
              <w:spacing w:after="0" w:line="240" w:lineRule="auto"/>
              <w:rPr>
                <w:rFonts w:ascii="Times New Roman" w:hAnsi="Times New Roman" w:cs="Times New Roman"/>
                <w:b/>
                <w:lang w:eastAsia="ru-RU"/>
              </w:rPr>
            </w:pPr>
          </w:p>
        </w:tc>
        <w:tc>
          <w:tcPr>
            <w:tcW w:w="1582" w:type="dxa"/>
            <w:tcBorders>
              <w:top w:val="single" w:sz="5" w:space="0" w:color="auto"/>
              <w:left w:val="single" w:sz="5" w:space="0" w:color="auto"/>
              <w:bottom w:val="single" w:sz="5" w:space="0" w:color="auto"/>
            </w:tcBorders>
            <w:shd w:val="clear" w:color="FFFFFF" w:fill="auto"/>
          </w:tcPr>
          <w:p w:rsidR="00151A4D" w:rsidRPr="00151A4D" w:rsidRDefault="00151A4D" w:rsidP="00151A4D">
            <w:pPr>
              <w:spacing w:after="0" w:line="240" w:lineRule="auto"/>
              <w:jc w:val="center"/>
              <w:rPr>
                <w:rFonts w:ascii="Times New Roman" w:hAnsi="Times New Roman" w:cs="Times New Roman"/>
              </w:rPr>
            </w:pPr>
            <w:r w:rsidRPr="00151A4D">
              <w:rPr>
                <w:rFonts w:ascii="Times New Roman" w:hAnsi="Times New Roman" w:cs="Times New Roman"/>
                <w:lang w:eastAsia="ru-RU"/>
              </w:rPr>
              <w:t>21.20.23.110</w:t>
            </w:r>
          </w:p>
          <w:p w:rsidR="00151A4D" w:rsidRPr="00151A4D" w:rsidRDefault="00151A4D" w:rsidP="00151A4D">
            <w:pPr>
              <w:spacing w:after="0" w:line="240" w:lineRule="auto"/>
              <w:jc w:val="center"/>
              <w:rPr>
                <w:rFonts w:ascii="Times New Roman" w:hAnsi="Times New Roman" w:cs="Times New Roman"/>
              </w:rPr>
            </w:pPr>
          </w:p>
          <w:p w:rsidR="00151A4D" w:rsidRPr="00151A4D" w:rsidRDefault="00151A4D" w:rsidP="00151A4D">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151A4D" w:rsidRPr="00151A4D" w:rsidRDefault="00151A4D" w:rsidP="00151A4D">
            <w:pPr>
              <w:spacing w:after="0" w:line="240" w:lineRule="auto"/>
              <w:jc w:val="center"/>
              <w:rPr>
                <w:rFonts w:ascii="Times New Roman" w:hAnsi="Times New Roman" w:cs="Times New Roman"/>
                <w:lang w:eastAsia="ru-RU"/>
              </w:rPr>
            </w:pPr>
            <w:r w:rsidRPr="00151A4D">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151A4D" w:rsidRPr="00BF1D9E" w:rsidRDefault="00B41731" w:rsidP="00151A4D">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464" w:type="dxa"/>
            <w:shd w:val="clear" w:color="auto" w:fill="FFFFCC"/>
          </w:tcPr>
          <w:p w:rsidR="00151A4D" w:rsidRPr="00495A53" w:rsidRDefault="00151A4D" w:rsidP="00151A4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151A4D" w:rsidRPr="00495A53" w:rsidRDefault="00151A4D" w:rsidP="00151A4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151A4D" w:rsidRPr="00495A53" w:rsidRDefault="00151A4D" w:rsidP="00151A4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151A4D" w:rsidRPr="00495A53" w:rsidRDefault="00151A4D" w:rsidP="00151A4D">
            <w:pPr>
              <w:spacing w:after="0" w:line="240" w:lineRule="auto"/>
              <w:jc w:val="center"/>
              <w:rPr>
                <w:rFonts w:ascii="Times New Roman" w:eastAsia="Times New Roman" w:hAnsi="Times New Roman" w:cs="Times New Roman"/>
                <w:lang w:eastAsia="ru-RU"/>
              </w:rPr>
            </w:pPr>
          </w:p>
        </w:tc>
      </w:tr>
      <w:tr w:rsidR="00056E5D" w:rsidRPr="00495A53" w:rsidTr="00F01167">
        <w:trPr>
          <w:trHeight w:val="20"/>
          <w:jc w:val="center"/>
        </w:trPr>
        <w:tc>
          <w:tcPr>
            <w:tcW w:w="640" w:type="dxa"/>
          </w:tcPr>
          <w:p w:rsidR="00056E5D" w:rsidRPr="00495A53" w:rsidRDefault="00056E5D" w:rsidP="00056E5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056E5D" w:rsidRPr="00056E5D" w:rsidRDefault="00056E5D" w:rsidP="00056E5D">
            <w:pPr>
              <w:spacing w:after="0" w:line="240" w:lineRule="auto"/>
              <w:jc w:val="center"/>
              <w:rPr>
                <w:rFonts w:ascii="Times New Roman" w:hAnsi="Times New Roman" w:cs="Times New Roman"/>
                <w:color w:val="000000"/>
                <w:lang w:eastAsia="ru-RU"/>
              </w:rPr>
            </w:pPr>
            <w:r w:rsidRPr="00056E5D">
              <w:rPr>
                <w:rFonts w:ascii="Times New Roman" w:hAnsi="Times New Roman" w:cs="Times New Roman"/>
                <w:lang w:eastAsia="ru-RU"/>
              </w:rPr>
              <w:t>Общий билирубин реагент</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056E5D" w:rsidRPr="00056E5D" w:rsidRDefault="00056E5D" w:rsidP="00056E5D">
            <w:pPr>
              <w:spacing w:after="0" w:line="240" w:lineRule="auto"/>
              <w:rPr>
                <w:rFonts w:ascii="Times New Roman" w:hAnsi="Times New Roman" w:cs="Times New Roman"/>
                <w:lang w:eastAsia="ru-RU"/>
              </w:rPr>
            </w:pPr>
            <w:r w:rsidRPr="00056E5D">
              <w:rPr>
                <w:rFonts w:ascii="Times New Roman" w:hAnsi="Times New Roman" w:cs="Times New Roman"/>
                <w:lang w:eastAsia="ru-RU"/>
              </w:rPr>
              <w:t>Тест предназначен для количественного определения</w:t>
            </w:r>
          </w:p>
          <w:p w:rsidR="00056E5D" w:rsidRPr="00056E5D" w:rsidRDefault="00056E5D" w:rsidP="00056E5D">
            <w:pPr>
              <w:spacing w:after="0" w:line="240" w:lineRule="auto"/>
              <w:rPr>
                <w:rFonts w:ascii="Times New Roman" w:hAnsi="Times New Roman" w:cs="Times New Roman"/>
                <w:lang w:eastAsia="ru-RU"/>
              </w:rPr>
            </w:pPr>
            <w:r w:rsidRPr="00056E5D">
              <w:rPr>
                <w:rFonts w:ascii="Times New Roman" w:hAnsi="Times New Roman" w:cs="Times New Roman"/>
                <w:lang w:eastAsia="ru-RU"/>
              </w:rPr>
              <w:t>общего билирубина в сыворотке или плазме крови взрослых людей и новорожденных</w:t>
            </w:r>
          </w:p>
          <w:p w:rsidR="00056E5D" w:rsidRPr="00056E5D" w:rsidRDefault="00056E5D" w:rsidP="00056E5D">
            <w:pPr>
              <w:spacing w:after="0" w:line="240" w:lineRule="auto"/>
              <w:rPr>
                <w:rFonts w:ascii="Times New Roman" w:hAnsi="Times New Roman" w:cs="Times New Roman"/>
                <w:lang w:eastAsia="ru-RU"/>
              </w:rPr>
            </w:pPr>
            <w:r w:rsidRPr="00056E5D">
              <w:rPr>
                <w:rFonts w:ascii="Times New Roman" w:hAnsi="Times New Roman" w:cs="Times New Roman"/>
                <w:lang w:eastAsia="ru-RU"/>
              </w:rPr>
              <w:t xml:space="preserve">Фасовка: не менее 3600 тестов.                                    </w:t>
            </w:r>
            <w:r w:rsidRPr="00056E5D">
              <w:rPr>
                <w:rFonts w:ascii="Times New Roman" w:hAnsi="Times New Roman" w:cs="Times New Roman"/>
              </w:rPr>
              <w:t xml:space="preserve"> </w:t>
            </w:r>
            <w:r w:rsidRPr="00056E5D">
              <w:rPr>
                <w:rFonts w:ascii="Times New Roman" w:hAnsi="Times New Roman" w:cs="Times New Roman"/>
                <w:lang w:eastAsia="ru-RU"/>
              </w:rPr>
              <w:t>Сов</w:t>
            </w:r>
            <w:r>
              <w:rPr>
                <w:rFonts w:ascii="Times New Roman" w:hAnsi="Times New Roman" w:cs="Times New Roman"/>
                <w:lang w:eastAsia="ru-RU"/>
              </w:rPr>
              <w:t xml:space="preserve">местим с </w:t>
            </w:r>
            <w:r w:rsidRPr="00056E5D">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w:t>
            </w:r>
            <w:r>
              <w:rPr>
                <w:rFonts w:ascii="Times New Roman" w:hAnsi="Times New Roman" w:cs="Times New Roman"/>
                <w:lang w:eastAsia="ru-RU"/>
              </w:rPr>
              <w:t>рность результатов исследований</w:t>
            </w:r>
            <w:r w:rsidRPr="00056E5D">
              <w:rPr>
                <w:rFonts w:ascii="Times New Roman" w:hAnsi="Times New Roman" w:cs="Times New Roman"/>
                <w:lang w:eastAsia="ru-RU"/>
              </w:rPr>
              <w:t>.</w:t>
            </w:r>
          </w:p>
          <w:p w:rsidR="00056E5D" w:rsidRPr="00056E5D" w:rsidRDefault="00056E5D" w:rsidP="00056E5D">
            <w:pPr>
              <w:spacing w:after="0" w:line="240" w:lineRule="auto"/>
              <w:rPr>
                <w:rFonts w:ascii="Times New Roman" w:hAnsi="Times New Roman" w:cs="Times New Roman"/>
                <w:bCs/>
                <w:lang w:eastAsia="ru-RU"/>
              </w:rPr>
            </w:pPr>
          </w:p>
        </w:tc>
        <w:tc>
          <w:tcPr>
            <w:tcW w:w="1582" w:type="dxa"/>
            <w:tcBorders>
              <w:top w:val="single" w:sz="5" w:space="0" w:color="auto"/>
              <w:left w:val="single" w:sz="5" w:space="0" w:color="auto"/>
              <w:bottom w:val="single" w:sz="5" w:space="0" w:color="auto"/>
            </w:tcBorders>
            <w:shd w:val="clear" w:color="FFFFFF" w:fill="auto"/>
          </w:tcPr>
          <w:p w:rsidR="00056E5D" w:rsidRPr="00056E5D" w:rsidRDefault="00056E5D" w:rsidP="00056E5D">
            <w:pPr>
              <w:spacing w:after="0" w:line="240" w:lineRule="auto"/>
              <w:jc w:val="center"/>
              <w:rPr>
                <w:rFonts w:ascii="Times New Roman" w:hAnsi="Times New Roman" w:cs="Times New Roman"/>
                <w:lang w:eastAsia="ru-RU"/>
              </w:rPr>
            </w:pPr>
            <w:r w:rsidRPr="00056E5D">
              <w:rPr>
                <w:rFonts w:ascii="Times New Roman" w:hAnsi="Times New Roman" w:cs="Times New Roman"/>
                <w:lang w:eastAsia="ru-RU"/>
              </w:rPr>
              <w:t>21.20.23.110</w:t>
            </w:r>
          </w:p>
          <w:p w:rsidR="00056E5D" w:rsidRPr="00056E5D" w:rsidRDefault="00056E5D" w:rsidP="00056E5D">
            <w:pPr>
              <w:spacing w:after="0" w:line="240" w:lineRule="auto"/>
              <w:jc w:val="center"/>
              <w:rPr>
                <w:rFonts w:ascii="Times New Roman" w:hAnsi="Times New Roman" w:cs="Times New Roman"/>
                <w:lang w:eastAsia="ru-RU"/>
              </w:rPr>
            </w:pPr>
          </w:p>
          <w:p w:rsidR="00056E5D" w:rsidRPr="00056E5D" w:rsidRDefault="00056E5D" w:rsidP="00056E5D">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056E5D" w:rsidRPr="00056E5D" w:rsidRDefault="00056E5D" w:rsidP="00056E5D">
            <w:pPr>
              <w:spacing w:after="0" w:line="240" w:lineRule="auto"/>
              <w:jc w:val="center"/>
              <w:rPr>
                <w:rFonts w:ascii="Times New Roman" w:hAnsi="Times New Roman" w:cs="Times New Roman"/>
                <w:lang w:eastAsia="ru-RU"/>
              </w:rPr>
            </w:pPr>
            <w:r w:rsidRPr="00056E5D">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056E5D" w:rsidRPr="00056E5D" w:rsidRDefault="00056E5D" w:rsidP="00056E5D">
            <w:pPr>
              <w:spacing w:after="0" w:line="240" w:lineRule="auto"/>
              <w:jc w:val="center"/>
              <w:rPr>
                <w:rFonts w:ascii="Times New Roman" w:hAnsi="Times New Roman" w:cs="Times New Roman"/>
                <w:lang w:val="en-US" w:eastAsia="ru-RU"/>
              </w:rPr>
            </w:pPr>
            <w:r w:rsidRPr="00056E5D">
              <w:rPr>
                <w:rFonts w:ascii="Times New Roman" w:hAnsi="Times New Roman" w:cs="Times New Roman"/>
                <w:lang w:val="en-US" w:eastAsia="ru-RU"/>
              </w:rPr>
              <w:t>3</w:t>
            </w:r>
          </w:p>
        </w:tc>
        <w:tc>
          <w:tcPr>
            <w:tcW w:w="1464" w:type="dxa"/>
            <w:shd w:val="clear" w:color="auto" w:fill="FFFFCC"/>
          </w:tcPr>
          <w:p w:rsidR="00056E5D" w:rsidRPr="00495A53" w:rsidRDefault="00056E5D" w:rsidP="00056E5D">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056E5D" w:rsidRPr="00495A53" w:rsidRDefault="00056E5D" w:rsidP="00056E5D">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056E5D" w:rsidRPr="00495A53" w:rsidRDefault="00056E5D" w:rsidP="00056E5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056E5D" w:rsidRPr="00495A53" w:rsidRDefault="00056E5D" w:rsidP="00056E5D">
            <w:pPr>
              <w:spacing w:after="0" w:line="240" w:lineRule="auto"/>
              <w:jc w:val="center"/>
              <w:rPr>
                <w:rFonts w:ascii="Times New Roman" w:eastAsia="Times New Roman" w:hAnsi="Times New Roman" w:cs="Times New Roman"/>
                <w:lang w:eastAsia="ru-RU"/>
              </w:rPr>
            </w:pPr>
          </w:p>
        </w:tc>
      </w:tr>
      <w:tr w:rsidR="007D28D0" w:rsidRPr="00495A53" w:rsidTr="00DE5506">
        <w:trPr>
          <w:trHeight w:val="20"/>
          <w:jc w:val="center"/>
        </w:trPr>
        <w:tc>
          <w:tcPr>
            <w:tcW w:w="640" w:type="dxa"/>
          </w:tcPr>
          <w:p w:rsidR="007D28D0" w:rsidRPr="00495A53" w:rsidRDefault="007D28D0" w:rsidP="007D28D0">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7D28D0" w:rsidRPr="007D28D0" w:rsidRDefault="007D28D0" w:rsidP="007D28D0">
            <w:pPr>
              <w:spacing w:after="0" w:line="240" w:lineRule="auto"/>
              <w:jc w:val="center"/>
              <w:rPr>
                <w:rFonts w:ascii="Times New Roman" w:hAnsi="Times New Roman" w:cs="Times New Roman"/>
                <w:lang w:eastAsia="ru-RU"/>
              </w:rPr>
            </w:pPr>
            <w:r w:rsidRPr="007D28D0">
              <w:rPr>
                <w:rFonts w:ascii="Times New Roman" w:hAnsi="Times New Roman" w:cs="Times New Roman"/>
                <w:lang w:eastAsia="ru-RU"/>
              </w:rPr>
              <w:t>Прямой билирубин реагент</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7D28D0" w:rsidRPr="007D28D0" w:rsidRDefault="007D28D0" w:rsidP="007D28D0">
            <w:pPr>
              <w:spacing w:after="0" w:line="240" w:lineRule="auto"/>
              <w:rPr>
                <w:rFonts w:ascii="Times New Roman" w:hAnsi="Times New Roman" w:cs="Times New Roman"/>
                <w:lang w:eastAsia="ru-RU"/>
              </w:rPr>
            </w:pPr>
            <w:r w:rsidRPr="007D28D0">
              <w:rPr>
                <w:rFonts w:ascii="Times New Roman" w:hAnsi="Times New Roman" w:cs="Times New Roman"/>
                <w:lang w:eastAsia="ru-RU"/>
              </w:rPr>
              <w:t>Реагент для определения прямого билирубина колориметрическим методом в сыворотке и плазме крови человека.</w:t>
            </w:r>
          </w:p>
          <w:p w:rsidR="007D28D0" w:rsidRPr="007D28D0" w:rsidRDefault="007D28D0" w:rsidP="007D28D0">
            <w:pPr>
              <w:spacing w:after="0" w:line="240" w:lineRule="auto"/>
              <w:rPr>
                <w:rFonts w:ascii="Times New Roman" w:hAnsi="Times New Roman" w:cs="Times New Roman"/>
                <w:lang w:eastAsia="ru-RU"/>
              </w:rPr>
            </w:pPr>
            <w:r w:rsidRPr="007D28D0">
              <w:rPr>
                <w:rFonts w:ascii="Times New Roman" w:hAnsi="Times New Roman" w:cs="Times New Roman"/>
                <w:lang w:eastAsia="ru-RU"/>
              </w:rPr>
              <w:t>Фасовка: не менее 2000 тестов</w:t>
            </w:r>
          </w:p>
          <w:p w:rsidR="007D28D0" w:rsidRPr="007D28D0" w:rsidRDefault="007D28D0" w:rsidP="007D28D0">
            <w:pPr>
              <w:spacing w:after="0" w:line="240" w:lineRule="auto"/>
              <w:rPr>
                <w:rFonts w:ascii="Times New Roman" w:hAnsi="Times New Roman" w:cs="Times New Roman"/>
                <w:lang w:eastAsia="ru-RU"/>
              </w:rPr>
            </w:pPr>
            <w:r>
              <w:rPr>
                <w:rFonts w:ascii="Times New Roman" w:hAnsi="Times New Roman" w:cs="Times New Roman"/>
                <w:lang w:eastAsia="ru-RU"/>
              </w:rPr>
              <w:t xml:space="preserve">Совместим с </w:t>
            </w:r>
            <w:r w:rsidRPr="007D28D0">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7D28D0" w:rsidRPr="007D28D0" w:rsidRDefault="007D28D0" w:rsidP="007D28D0">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7D28D0" w:rsidRPr="007D28D0" w:rsidRDefault="007D28D0" w:rsidP="007D28D0">
            <w:pPr>
              <w:spacing w:after="0" w:line="240" w:lineRule="auto"/>
              <w:jc w:val="center"/>
              <w:rPr>
                <w:rFonts w:ascii="Times New Roman" w:hAnsi="Times New Roman" w:cs="Times New Roman"/>
                <w:lang w:eastAsia="ru-RU"/>
              </w:rPr>
            </w:pPr>
            <w:r w:rsidRPr="007D28D0">
              <w:rPr>
                <w:rFonts w:ascii="Times New Roman" w:hAnsi="Times New Roman" w:cs="Times New Roman"/>
                <w:lang w:eastAsia="ru-RU"/>
              </w:rPr>
              <w:t>21.20.23.110</w:t>
            </w:r>
          </w:p>
          <w:p w:rsidR="007D28D0" w:rsidRPr="007D28D0" w:rsidRDefault="007D28D0" w:rsidP="007D28D0">
            <w:pPr>
              <w:spacing w:after="0" w:line="240" w:lineRule="auto"/>
              <w:jc w:val="center"/>
              <w:rPr>
                <w:rFonts w:ascii="Times New Roman" w:hAnsi="Times New Roman" w:cs="Times New Roman"/>
                <w:lang w:eastAsia="ru-RU"/>
              </w:rPr>
            </w:pPr>
          </w:p>
          <w:p w:rsidR="007D28D0" w:rsidRPr="007D28D0" w:rsidRDefault="007D28D0" w:rsidP="007D28D0">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7D28D0" w:rsidRPr="007D28D0" w:rsidRDefault="007D28D0" w:rsidP="007D28D0">
            <w:pPr>
              <w:spacing w:after="0" w:line="240" w:lineRule="auto"/>
              <w:jc w:val="center"/>
              <w:rPr>
                <w:rFonts w:ascii="Times New Roman" w:hAnsi="Times New Roman" w:cs="Times New Roman"/>
                <w:lang w:eastAsia="ru-RU"/>
              </w:rPr>
            </w:pPr>
            <w:r w:rsidRPr="007D28D0">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7D28D0" w:rsidRPr="007D28D0" w:rsidRDefault="007D28D0" w:rsidP="007D28D0">
            <w:pPr>
              <w:spacing w:after="0" w:line="240" w:lineRule="auto"/>
              <w:jc w:val="center"/>
              <w:rPr>
                <w:rFonts w:ascii="Times New Roman" w:hAnsi="Times New Roman" w:cs="Times New Roman"/>
                <w:lang w:eastAsia="ru-RU"/>
              </w:rPr>
            </w:pPr>
            <w:r w:rsidRPr="007D28D0">
              <w:rPr>
                <w:rFonts w:ascii="Times New Roman" w:hAnsi="Times New Roman" w:cs="Times New Roman"/>
                <w:lang w:eastAsia="ru-RU"/>
              </w:rPr>
              <w:t>1</w:t>
            </w:r>
          </w:p>
        </w:tc>
        <w:tc>
          <w:tcPr>
            <w:tcW w:w="1464" w:type="dxa"/>
            <w:shd w:val="clear" w:color="auto" w:fill="FFFFCC"/>
          </w:tcPr>
          <w:p w:rsidR="007D28D0" w:rsidRPr="00495A53" w:rsidRDefault="007D28D0" w:rsidP="007D28D0">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7D28D0" w:rsidRPr="00495A53" w:rsidRDefault="007D28D0" w:rsidP="007D28D0">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7D28D0" w:rsidRPr="00495A53" w:rsidRDefault="007D28D0" w:rsidP="007D28D0">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D28D0" w:rsidRPr="00495A53" w:rsidRDefault="007D28D0" w:rsidP="007D28D0">
            <w:pPr>
              <w:spacing w:after="0" w:line="240" w:lineRule="auto"/>
              <w:jc w:val="center"/>
              <w:rPr>
                <w:rFonts w:ascii="Times New Roman" w:eastAsia="Times New Roman" w:hAnsi="Times New Roman" w:cs="Times New Roman"/>
                <w:lang w:eastAsia="ru-RU"/>
              </w:rPr>
            </w:pPr>
          </w:p>
        </w:tc>
      </w:tr>
      <w:tr w:rsidR="008727D7" w:rsidRPr="00495A53" w:rsidTr="00DE5506">
        <w:trPr>
          <w:trHeight w:val="20"/>
          <w:jc w:val="center"/>
        </w:trPr>
        <w:tc>
          <w:tcPr>
            <w:tcW w:w="640" w:type="dxa"/>
          </w:tcPr>
          <w:p w:rsidR="008727D7" w:rsidRPr="00495A53" w:rsidRDefault="008727D7" w:rsidP="008727D7">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8727D7" w:rsidRPr="008727D7" w:rsidRDefault="008727D7" w:rsidP="008727D7">
            <w:pPr>
              <w:spacing w:after="0" w:line="240" w:lineRule="auto"/>
              <w:jc w:val="center"/>
              <w:rPr>
                <w:rFonts w:ascii="Times New Roman" w:hAnsi="Times New Roman" w:cs="Times New Roman"/>
                <w:lang w:eastAsia="ru-RU"/>
              </w:rPr>
            </w:pPr>
            <w:r w:rsidRPr="008727D7">
              <w:rPr>
                <w:rFonts w:ascii="Times New Roman" w:hAnsi="Times New Roman" w:cs="Times New Roman"/>
                <w:lang w:eastAsia="ru-RU"/>
              </w:rPr>
              <w:t>Ферритин ИВД, набор, нефелометрический/ турбидиметрический анализ</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8727D7" w:rsidRPr="008727D7" w:rsidRDefault="008727D7" w:rsidP="008727D7">
            <w:pPr>
              <w:spacing w:after="0" w:line="240" w:lineRule="auto"/>
              <w:rPr>
                <w:rFonts w:ascii="Times New Roman" w:hAnsi="Times New Roman" w:cs="Times New Roman"/>
                <w:lang w:eastAsia="ru-RU"/>
              </w:rPr>
            </w:pPr>
            <w:r w:rsidRPr="008727D7">
              <w:rPr>
                <w:rFonts w:ascii="Times New Roman" w:hAnsi="Times New Roman" w:cs="Times New Roman"/>
                <w:lang w:eastAsia="ru-RU"/>
              </w:rPr>
              <w:t>Назначение: Для анализаторов серии ARCHITECT.</w:t>
            </w:r>
          </w:p>
          <w:p w:rsidR="008727D7" w:rsidRPr="008727D7" w:rsidRDefault="008727D7" w:rsidP="008727D7">
            <w:pPr>
              <w:spacing w:after="0" w:line="240" w:lineRule="auto"/>
              <w:rPr>
                <w:rFonts w:ascii="Times New Roman" w:hAnsi="Times New Roman" w:cs="Times New Roman"/>
                <w:b/>
                <w:lang w:eastAsia="ru-RU"/>
              </w:rPr>
            </w:pPr>
            <w:r w:rsidRPr="008727D7">
              <w:rPr>
                <w:rFonts w:ascii="Times New Roman" w:hAnsi="Times New Roman" w:cs="Times New Roman"/>
                <w:b/>
                <w:lang w:eastAsia="ru-RU"/>
              </w:rPr>
              <w:t xml:space="preserve">Дополнительные характеристики*:                                                                                       </w:t>
            </w:r>
          </w:p>
          <w:p w:rsidR="008727D7" w:rsidRPr="008727D7" w:rsidRDefault="008727D7" w:rsidP="008727D7">
            <w:pPr>
              <w:spacing w:after="0" w:line="240" w:lineRule="auto"/>
              <w:rPr>
                <w:rFonts w:ascii="Times New Roman" w:hAnsi="Times New Roman" w:cs="Times New Roman"/>
                <w:lang w:eastAsia="ru-RU"/>
              </w:rPr>
            </w:pPr>
            <w:r w:rsidRPr="008727D7">
              <w:rPr>
                <w:rFonts w:ascii="Times New Roman" w:hAnsi="Times New Roman" w:cs="Times New Roman"/>
                <w:lang w:eastAsia="ru-RU"/>
              </w:rPr>
              <w:t>Фасовка: не менее 280 тестов (Является минимально необходимым, позволяющим выполнять запланированное количество исследований).</w:t>
            </w:r>
          </w:p>
          <w:p w:rsidR="008727D7" w:rsidRPr="008727D7" w:rsidRDefault="008727D7" w:rsidP="008727D7">
            <w:pPr>
              <w:spacing w:after="0" w:line="240" w:lineRule="auto"/>
              <w:rPr>
                <w:rFonts w:ascii="Times New Roman" w:hAnsi="Times New Roman" w:cs="Times New Roman"/>
                <w:lang w:eastAsia="ru-RU"/>
              </w:rPr>
            </w:pPr>
            <w:r w:rsidRPr="008727D7">
              <w:rPr>
                <w:rFonts w:ascii="Times New Roman" w:hAnsi="Times New Roman" w:cs="Times New Roman"/>
                <w:lang w:eastAsia="ru-RU"/>
              </w:rPr>
              <w:t xml:space="preserve">Совместим с 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 </w:t>
            </w:r>
          </w:p>
          <w:p w:rsidR="008727D7" w:rsidRPr="00CB4C9C" w:rsidRDefault="008727D7" w:rsidP="008727D7">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8727D7" w:rsidRPr="008727D7" w:rsidRDefault="008727D7" w:rsidP="008727D7">
            <w:pPr>
              <w:spacing w:after="0" w:line="240" w:lineRule="auto"/>
              <w:jc w:val="center"/>
              <w:rPr>
                <w:rFonts w:ascii="Times New Roman" w:hAnsi="Times New Roman" w:cs="Times New Roman"/>
                <w:lang w:eastAsia="ru-RU"/>
              </w:rPr>
            </w:pPr>
            <w:r w:rsidRPr="008727D7">
              <w:rPr>
                <w:rFonts w:ascii="Times New Roman" w:hAnsi="Times New Roman" w:cs="Times New Roman"/>
                <w:lang w:eastAsia="ru-RU"/>
              </w:rPr>
              <w:t>21.20.23.110-00009117</w:t>
            </w:r>
            <w:r>
              <w:rPr>
                <w:rFonts w:ascii="Times New Roman" w:hAnsi="Times New Roman" w:cs="Times New Roman"/>
                <w:lang w:eastAsia="ru-RU"/>
              </w:rPr>
              <w:t>*</w:t>
            </w:r>
          </w:p>
          <w:p w:rsidR="008727D7" w:rsidRPr="008727D7" w:rsidRDefault="008727D7" w:rsidP="008727D7">
            <w:pPr>
              <w:spacing w:after="0" w:line="240" w:lineRule="auto"/>
              <w:jc w:val="center"/>
              <w:rPr>
                <w:rFonts w:ascii="Times New Roman" w:hAnsi="Times New Roman" w:cs="Times New Roman"/>
                <w:lang w:eastAsia="ru-RU"/>
              </w:rPr>
            </w:pPr>
          </w:p>
          <w:p w:rsidR="008727D7" w:rsidRPr="008727D7" w:rsidRDefault="008727D7" w:rsidP="008727D7">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8727D7" w:rsidRPr="008727D7" w:rsidRDefault="008727D7" w:rsidP="008727D7">
            <w:pPr>
              <w:spacing w:after="0" w:line="240" w:lineRule="auto"/>
              <w:jc w:val="center"/>
              <w:rPr>
                <w:rFonts w:ascii="Times New Roman" w:hAnsi="Times New Roman" w:cs="Times New Roman"/>
                <w:lang w:eastAsia="ru-RU"/>
              </w:rPr>
            </w:pPr>
            <w:r w:rsidRPr="008727D7">
              <w:rPr>
                <w:rFonts w:ascii="Times New Roman" w:hAnsi="Times New Roman" w:cs="Times New Roman"/>
                <w:lang w:eastAsia="ru-RU"/>
              </w:rPr>
              <w:t>набор</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8727D7" w:rsidRPr="008727D7" w:rsidRDefault="008727D7" w:rsidP="008727D7">
            <w:pPr>
              <w:spacing w:after="0" w:line="240" w:lineRule="auto"/>
              <w:jc w:val="center"/>
              <w:rPr>
                <w:rFonts w:ascii="Times New Roman" w:hAnsi="Times New Roman" w:cs="Times New Roman"/>
                <w:lang w:eastAsia="ru-RU"/>
              </w:rPr>
            </w:pPr>
            <w:r w:rsidRPr="008727D7">
              <w:rPr>
                <w:rFonts w:ascii="Times New Roman" w:hAnsi="Times New Roman" w:cs="Times New Roman"/>
                <w:lang w:eastAsia="ru-RU"/>
              </w:rPr>
              <w:t>3</w:t>
            </w:r>
          </w:p>
        </w:tc>
        <w:tc>
          <w:tcPr>
            <w:tcW w:w="1464" w:type="dxa"/>
            <w:shd w:val="clear" w:color="auto" w:fill="FFFFCC"/>
          </w:tcPr>
          <w:p w:rsidR="008727D7" w:rsidRPr="00495A53" w:rsidRDefault="008727D7" w:rsidP="008727D7">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8727D7" w:rsidRPr="00495A53" w:rsidRDefault="008727D7" w:rsidP="008727D7">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8727D7" w:rsidRPr="00495A53" w:rsidRDefault="008727D7" w:rsidP="008727D7">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8727D7" w:rsidRPr="00495A53" w:rsidRDefault="008727D7" w:rsidP="008727D7">
            <w:pPr>
              <w:spacing w:after="0" w:line="240" w:lineRule="auto"/>
              <w:jc w:val="center"/>
              <w:rPr>
                <w:rFonts w:ascii="Times New Roman" w:eastAsia="Times New Roman" w:hAnsi="Times New Roman" w:cs="Times New Roman"/>
                <w:lang w:eastAsia="ru-RU"/>
              </w:rPr>
            </w:pPr>
          </w:p>
        </w:tc>
      </w:tr>
      <w:tr w:rsidR="006A285B" w:rsidRPr="00495A53" w:rsidTr="00DE5506">
        <w:trPr>
          <w:trHeight w:val="20"/>
          <w:jc w:val="center"/>
        </w:trPr>
        <w:tc>
          <w:tcPr>
            <w:tcW w:w="640" w:type="dxa"/>
          </w:tcPr>
          <w:p w:rsidR="006A285B" w:rsidRPr="00495A53" w:rsidRDefault="006A285B" w:rsidP="006A285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6A285B" w:rsidRPr="006A285B" w:rsidRDefault="006A285B" w:rsidP="006A285B">
            <w:pPr>
              <w:spacing w:after="0" w:line="240" w:lineRule="auto"/>
              <w:jc w:val="center"/>
              <w:rPr>
                <w:rFonts w:ascii="Times New Roman" w:hAnsi="Times New Roman" w:cs="Times New Roman"/>
              </w:rPr>
            </w:pPr>
            <w:r w:rsidRPr="006A285B">
              <w:rPr>
                <w:rFonts w:ascii="Times New Roman" w:hAnsi="Times New Roman" w:cs="Times New Roman"/>
                <w:lang w:eastAsia="ru-RU"/>
              </w:rPr>
              <w:t>Множественные аналиты клинической химии ИВД, калибратор</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6A285B" w:rsidRPr="006A285B" w:rsidRDefault="006A285B" w:rsidP="006A285B">
            <w:pPr>
              <w:spacing w:after="0" w:line="240" w:lineRule="auto"/>
              <w:rPr>
                <w:rFonts w:ascii="Times New Roman" w:hAnsi="Times New Roman" w:cs="Times New Roman"/>
                <w:lang w:eastAsia="ru-RU"/>
              </w:rPr>
            </w:pPr>
            <w:r w:rsidRPr="006A285B">
              <w:rPr>
                <w:rFonts w:ascii="Times New Roman" w:hAnsi="Times New Roman" w:cs="Times New Roman"/>
                <w:lang w:eastAsia="ru-RU"/>
              </w:rPr>
              <w:t xml:space="preserve">Назначение: Для анализаторов серии ARHITECT; Объем реагента: ≥ 1 Кубический сантиметр; ^миллилитр  </w:t>
            </w:r>
          </w:p>
          <w:p w:rsidR="006A285B" w:rsidRPr="006A285B" w:rsidRDefault="006A285B" w:rsidP="006A285B">
            <w:pPr>
              <w:spacing w:after="0" w:line="240" w:lineRule="auto"/>
              <w:rPr>
                <w:rFonts w:ascii="Times New Roman" w:hAnsi="Times New Roman" w:cs="Times New Roman"/>
                <w:b/>
                <w:lang w:eastAsia="ru-RU"/>
              </w:rPr>
            </w:pPr>
            <w:r w:rsidRPr="006A285B">
              <w:rPr>
                <w:rFonts w:ascii="Times New Roman" w:hAnsi="Times New Roman" w:cs="Times New Roman"/>
                <w:b/>
                <w:lang w:eastAsia="ru-RU"/>
              </w:rPr>
              <w:t xml:space="preserve">Дополнительные характеристики*:  </w:t>
            </w:r>
          </w:p>
          <w:p w:rsidR="006A285B" w:rsidRPr="006A285B" w:rsidRDefault="006A285B" w:rsidP="006A285B">
            <w:pPr>
              <w:spacing w:after="0" w:line="240" w:lineRule="auto"/>
              <w:rPr>
                <w:rFonts w:ascii="Times New Roman" w:hAnsi="Times New Roman" w:cs="Times New Roman"/>
                <w:b/>
                <w:lang w:eastAsia="ru-RU"/>
              </w:rPr>
            </w:pPr>
            <w:r>
              <w:rPr>
                <w:rFonts w:ascii="Times New Roman" w:hAnsi="Times New Roman" w:cs="Times New Roman"/>
                <w:lang w:eastAsia="ru-RU"/>
              </w:rPr>
              <w:t xml:space="preserve">Совместим с </w:t>
            </w:r>
            <w:r w:rsidRPr="006A285B">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r w:rsidRPr="006A285B">
              <w:rPr>
                <w:rFonts w:ascii="Times New Roman" w:hAnsi="Times New Roman" w:cs="Times New Roman"/>
                <w:b/>
                <w:lang w:eastAsia="ru-RU"/>
              </w:rPr>
              <w:t>.</w:t>
            </w:r>
          </w:p>
          <w:p w:rsidR="006A285B" w:rsidRPr="006A285B" w:rsidRDefault="006A285B" w:rsidP="006A285B">
            <w:pPr>
              <w:spacing w:after="0" w:line="240" w:lineRule="auto"/>
              <w:rPr>
                <w:rFonts w:ascii="Times New Roman" w:hAnsi="Times New Roman" w:cs="Times New Roman"/>
                <w:b/>
                <w:bCs/>
                <w:lang w:eastAsia="ru-RU"/>
              </w:rPr>
            </w:pPr>
            <w:r w:rsidRPr="006A285B">
              <w:rPr>
                <w:rFonts w:ascii="Times New Roman" w:hAnsi="Times New Roman" w:cs="Times New Roman"/>
                <w:b/>
                <w:bCs/>
                <w:lang w:eastAsia="ru-RU"/>
              </w:rPr>
              <w:t xml:space="preserve">Дополнительная информация*:                                                                               </w:t>
            </w:r>
          </w:p>
          <w:p w:rsidR="006A285B" w:rsidRPr="006A285B" w:rsidRDefault="006A285B" w:rsidP="006A285B">
            <w:pPr>
              <w:spacing w:after="0" w:line="240" w:lineRule="auto"/>
              <w:rPr>
                <w:rFonts w:ascii="Times New Roman" w:hAnsi="Times New Roman" w:cs="Times New Roman"/>
                <w:bCs/>
                <w:lang w:eastAsia="ru-RU"/>
              </w:rPr>
            </w:pPr>
            <w:r>
              <w:rPr>
                <w:rFonts w:ascii="Times New Roman" w:hAnsi="Times New Roman" w:cs="Times New Roman"/>
                <w:bCs/>
                <w:lang w:eastAsia="ru-RU"/>
              </w:rPr>
              <w:t xml:space="preserve">Совместим с </w:t>
            </w:r>
            <w:r w:rsidRPr="006A285B">
              <w:rPr>
                <w:rFonts w:ascii="Times New Roman" w:hAnsi="Times New Roman" w:cs="Times New Roman"/>
                <w:bCs/>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6A285B" w:rsidRPr="006A285B" w:rsidRDefault="006A285B" w:rsidP="006A285B">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6A285B" w:rsidRPr="006A285B" w:rsidRDefault="006A285B" w:rsidP="006A285B">
            <w:pPr>
              <w:spacing w:after="0" w:line="240" w:lineRule="auto"/>
              <w:jc w:val="center"/>
              <w:rPr>
                <w:rFonts w:ascii="Times New Roman" w:hAnsi="Times New Roman" w:cs="Times New Roman"/>
                <w:lang w:eastAsia="ru-RU"/>
              </w:rPr>
            </w:pPr>
            <w:r>
              <w:rPr>
                <w:rFonts w:ascii="Times New Roman" w:hAnsi="Times New Roman" w:cs="Times New Roman"/>
                <w:lang w:eastAsia="ru-RU"/>
              </w:rPr>
              <w:t>21.20.23.110</w:t>
            </w:r>
          </w:p>
        </w:tc>
        <w:tc>
          <w:tcPr>
            <w:tcW w:w="866" w:type="dxa"/>
            <w:tcBorders>
              <w:top w:val="single" w:sz="5" w:space="0" w:color="auto"/>
              <w:left w:val="single" w:sz="5" w:space="0" w:color="auto"/>
              <w:bottom w:val="single" w:sz="5" w:space="0" w:color="auto"/>
            </w:tcBorders>
            <w:shd w:val="clear" w:color="FFFFFF" w:fill="auto"/>
          </w:tcPr>
          <w:p w:rsidR="006A285B" w:rsidRPr="006A285B" w:rsidRDefault="006A285B" w:rsidP="006A285B">
            <w:pPr>
              <w:spacing w:after="0" w:line="240" w:lineRule="auto"/>
              <w:jc w:val="center"/>
              <w:rPr>
                <w:rFonts w:ascii="Times New Roman" w:hAnsi="Times New Roman" w:cs="Times New Roman"/>
                <w:lang w:eastAsia="ru-RU"/>
              </w:rPr>
            </w:pPr>
            <w:r>
              <w:rPr>
                <w:rFonts w:ascii="Times New Roman" w:hAnsi="Times New Roman" w:cs="Times New Roman"/>
                <w:lang w:eastAsia="ru-RU"/>
              </w:rPr>
              <w:t>штука</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6A285B" w:rsidRPr="006A285B" w:rsidRDefault="00BF1D9E" w:rsidP="006A285B">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1464" w:type="dxa"/>
            <w:shd w:val="clear" w:color="auto" w:fill="FFFFCC"/>
          </w:tcPr>
          <w:p w:rsidR="006A285B" w:rsidRPr="00495A53" w:rsidRDefault="006A285B" w:rsidP="006A285B">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6A285B" w:rsidRPr="00495A53" w:rsidRDefault="006A285B" w:rsidP="006A285B">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6A285B" w:rsidRPr="00495A53" w:rsidRDefault="006A285B" w:rsidP="006A285B">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6A285B" w:rsidRPr="00495A53" w:rsidRDefault="006A285B" w:rsidP="006A285B">
            <w:pPr>
              <w:spacing w:after="0" w:line="240" w:lineRule="auto"/>
              <w:jc w:val="center"/>
              <w:rPr>
                <w:rFonts w:ascii="Times New Roman" w:eastAsia="Times New Roman" w:hAnsi="Times New Roman" w:cs="Times New Roman"/>
                <w:lang w:eastAsia="ru-RU"/>
              </w:rPr>
            </w:pPr>
          </w:p>
        </w:tc>
      </w:tr>
      <w:tr w:rsidR="00A46A65" w:rsidRPr="00495A53" w:rsidTr="00DE5506">
        <w:trPr>
          <w:trHeight w:val="20"/>
          <w:jc w:val="center"/>
        </w:trPr>
        <w:tc>
          <w:tcPr>
            <w:tcW w:w="640" w:type="dxa"/>
          </w:tcPr>
          <w:p w:rsidR="00A46A65" w:rsidRPr="00495A53" w:rsidRDefault="00A46A65" w:rsidP="00A46A6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Цистатин С контроль</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A46A65" w:rsidRPr="00A46A65" w:rsidRDefault="00A46A65" w:rsidP="00A46A65">
            <w:pPr>
              <w:spacing w:after="0" w:line="240" w:lineRule="auto"/>
              <w:rPr>
                <w:rFonts w:ascii="Times New Roman" w:hAnsi="Times New Roman" w:cs="Times New Roman"/>
                <w:lang w:eastAsia="ru-RU"/>
              </w:rPr>
            </w:pPr>
            <w:r w:rsidRPr="00A46A65">
              <w:rPr>
                <w:rFonts w:ascii="Times New Roman" w:hAnsi="Times New Roman" w:cs="Times New Roman"/>
                <w:lang w:eastAsia="ru-RU"/>
              </w:rPr>
              <w:t xml:space="preserve">Набор контролей используется для проверки рабочих характеристик теста MULTIGENT Cystatin C.                  </w:t>
            </w:r>
          </w:p>
          <w:p w:rsidR="00A46A65" w:rsidRPr="00A46A65" w:rsidRDefault="00A46A65" w:rsidP="00A46A65">
            <w:pPr>
              <w:spacing w:after="0" w:line="240" w:lineRule="auto"/>
              <w:rPr>
                <w:rFonts w:ascii="Times New Roman" w:hAnsi="Times New Roman" w:cs="Times New Roman"/>
                <w:lang w:eastAsia="ru-RU"/>
              </w:rPr>
            </w:pPr>
            <w:r w:rsidRPr="00A46A65">
              <w:rPr>
                <w:rFonts w:ascii="Times New Roman" w:hAnsi="Times New Roman" w:cs="Times New Roman"/>
                <w:lang w:eastAsia="ru-RU"/>
              </w:rPr>
              <w:t>Фасовка: не менее 2х1 мл</w:t>
            </w:r>
          </w:p>
          <w:p w:rsidR="00A46A65" w:rsidRPr="00A46A65" w:rsidRDefault="00A46A65" w:rsidP="00A46A65">
            <w:pPr>
              <w:spacing w:after="0" w:line="240" w:lineRule="auto"/>
              <w:rPr>
                <w:rFonts w:ascii="Times New Roman" w:hAnsi="Times New Roman" w:cs="Times New Roman"/>
                <w:lang w:eastAsia="ru-RU"/>
              </w:rPr>
            </w:pPr>
            <w:r>
              <w:rPr>
                <w:rFonts w:ascii="Times New Roman" w:hAnsi="Times New Roman" w:cs="Times New Roman"/>
                <w:lang w:eastAsia="ru-RU"/>
              </w:rPr>
              <w:t>Совместим с</w:t>
            </w:r>
            <w:r w:rsidRPr="00A46A65">
              <w:rPr>
                <w:rFonts w:ascii="Times New Roman" w:hAnsi="Times New Roman" w:cs="Times New Roman"/>
                <w:lang w:eastAsia="ru-RU"/>
              </w:rPr>
              <w:t xml:space="preserve"> автоматическим биохимически</w:t>
            </w:r>
            <w:r>
              <w:rPr>
                <w:rFonts w:ascii="Times New Roman" w:hAnsi="Times New Roman" w:cs="Times New Roman"/>
                <w:lang w:eastAsia="ru-RU"/>
              </w:rPr>
              <w:t xml:space="preserve">м анализатором ARCHITECT с4000 </w:t>
            </w:r>
            <w:r w:rsidRPr="00A46A65">
              <w:rPr>
                <w:rFonts w:ascii="Times New Roman" w:hAnsi="Times New Roman" w:cs="Times New Roman"/>
                <w:lang w:eastAsia="ru-RU"/>
              </w:rPr>
              <w:t>имеющимся у заказчика, не вызывает сбоев в работе анализатора, не снижает достоверность результатов исследований</w:t>
            </w:r>
          </w:p>
          <w:p w:rsidR="00A46A65" w:rsidRPr="00A46A65" w:rsidRDefault="00A46A65" w:rsidP="00A46A65">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21.20.23.110</w:t>
            </w:r>
          </w:p>
          <w:p w:rsidR="00A46A65" w:rsidRPr="00A46A65" w:rsidRDefault="00A46A65" w:rsidP="00A46A65">
            <w:pPr>
              <w:spacing w:after="0" w:line="240" w:lineRule="auto"/>
              <w:jc w:val="center"/>
              <w:rPr>
                <w:rFonts w:ascii="Times New Roman" w:hAnsi="Times New Roman" w:cs="Times New Roman"/>
                <w:lang w:eastAsia="ru-RU"/>
              </w:rPr>
            </w:pPr>
          </w:p>
          <w:p w:rsidR="00A46A65" w:rsidRPr="00A46A65" w:rsidRDefault="00A46A65" w:rsidP="00A46A65">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val="en-US" w:eastAsia="ru-RU"/>
              </w:rPr>
            </w:pPr>
            <w:r w:rsidRPr="00A46A65">
              <w:rPr>
                <w:rFonts w:ascii="Times New Roman" w:hAnsi="Times New Roman" w:cs="Times New Roman"/>
                <w:lang w:val="en-US" w:eastAsia="ru-RU"/>
              </w:rPr>
              <w:t>1</w:t>
            </w:r>
          </w:p>
        </w:tc>
        <w:tc>
          <w:tcPr>
            <w:tcW w:w="1464"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r>
      <w:tr w:rsidR="00A46A65" w:rsidRPr="00495A53" w:rsidTr="00DE5506">
        <w:trPr>
          <w:trHeight w:val="20"/>
          <w:jc w:val="center"/>
        </w:trPr>
        <w:tc>
          <w:tcPr>
            <w:tcW w:w="640" w:type="dxa"/>
          </w:tcPr>
          <w:p w:rsidR="00A46A65" w:rsidRPr="00495A53" w:rsidRDefault="00A46A65" w:rsidP="00A46A6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Щелочная фосфатаза</w:t>
            </w:r>
          </w:p>
          <w:p w:rsidR="00A46A65" w:rsidRPr="00A46A65" w:rsidRDefault="00A46A65" w:rsidP="00A46A65">
            <w:pPr>
              <w:spacing w:after="0" w:line="240" w:lineRule="auto"/>
              <w:rPr>
                <w:rFonts w:ascii="Times New Roman" w:hAnsi="Times New Roman" w:cs="Times New Roman"/>
                <w:lang w:eastAsia="ru-RU"/>
              </w:rPr>
            </w:pP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A46A65" w:rsidRPr="00A46A65" w:rsidRDefault="00A46A65" w:rsidP="00A46A65">
            <w:pPr>
              <w:spacing w:after="0" w:line="240" w:lineRule="auto"/>
              <w:rPr>
                <w:rFonts w:ascii="Times New Roman" w:hAnsi="Times New Roman" w:cs="Times New Roman"/>
                <w:lang w:eastAsia="ru-RU"/>
              </w:rPr>
            </w:pPr>
            <w:r w:rsidRPr="00A46A65">
              <w:rPr>
                <w:rFonts w:ascii="Times New Roman" w:hAnsi="Times New Roman" w:cs="Times New Roman"/>
                <w:lang w:eastAsia="ru-RU"/>
              </w:rPr>
              <w:t xml:space="preserve">Реагент применяется для количественного определения щелочной фосфатазы в сыворотке или плазме крови человека.    </w:t>
            </w:r>
          </w:p>
          <w:p w:rsidR="00A46A65" w:rsidRPr="00A46A65" w:rsidRDefault="00A46A65" w:rsidP="00A46A65">
            <w:pPr>
              <w:spacing w:after="0" w:line="240" w:lineRule="auto"/>
              <w:rPr>
                <w:rFonts w:ascii="Times New Roman" w:hAnsi="Times New Roman" w:cs="Times New Roman"/>
                <w:lang w:eastAsia="ru-RU"/>
              </w:rPr>
            </w:pPr>
            <w:r w:rsidRPr="00A46A65">
              <w:rPr>
                <w:rFonts w:ascii="Times New Roman" w:hAnsi="Times New Roman" w:cs="Times New Roman"/>
                <w:lang w:eastAsia="ru-RU"/>
              </w:rPr>
              <w:t xml:space="preserve">Фасовка: не менее 1500 тестов                                                  </w:t>
            </w:r>
            <w:r>
              <w:rPr>
                <w:rFonts w:ascii="Times New Roman" w:hAnsi="Times New Roman" w:cs="Times New Roman"/>
                <w:lang w:eastAsia="ru-RU"/>
              </w:rPr>
              <w:t xml:space="preserve">                   Совместим с </w:t>
            </w:r>
            <w:r w:rsidRPr="00A46A65">
              <w:rPr>
                <w:rFonts w:ascii="Times New Roman" w:hAnsi="Times New Roman" w:cs="Times New Roman"/>
                <w:lang w:eastAsia="ru-RU"/>
              </w:rPr>
              <w:t>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A46A65" w:rsidRPr="00A46A65" w:rsidRDefault="00A46A65" w:rsidP="00A46A65">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21.20.23.110</w:t>
            </w:r>
          </w:p>
          <w:p w:rsidR="00A46A65" w:rsidRPr="00A46A65" w:rsidRDefault="00A46A65" w:rsidP="00A46A65">
            <w:pPr>
              <w:spacing w:after="0" w:line="240" w:lineRule="auto"/>
              <w:jc w:val="center"/>
              <w:rPr>
                <w:rFonts w:ascii="Times New Roman" w:hAnsi="Times New Roman" w:cs="Times New Roman"/>
                <w:lang w:eastAsia="ru-RU"/>
              </w:rPr>
            </w:pPr>
          </w:p>
          <w:p w:rsidR="00A46A65" w:rsidRPr="00A46A65" w:rsidRDefault="00A46A65" w:rsidP="00A46A65">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eastAsia="ru-RU"/>
              </w:rPr>
            </w:pPr>
            <w:r w:rsidRPr="00A46A65">
              <w:rPr>
                <w:rFonts w:ascii="Times New Roman" w:hAnsi="Times New Roman" w:cs="Times New Roman"/>
                <w:lang w:eastAsia="ru-RU"/>
              </w:rPr>
              <w:t>упак</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A46A65" w:rsidRPr="00A46A65" w:rsidRDefault="00A46A65" w:rsidP="00A46A65">
            <w:pPr>
              <w:spacing w:after="0" w:line="240" w:lineRule="auto"/>
              <w:jc w:val="center"/>
              <w:rPr>
                <w:rFonts w:ascii="Times New Roman" w:hAnsi="Times New Roman" w:cs="Times New Roman"/>
                <w:lang w:val="en-US" w:eastAsia="ru-RU"/>
              </w:rPr>
            </w:pPr>
            <w:r w:rsidRPr="00A46A65">
              <w:rPr>
                <w:rFonts w:ascii="Times New Roman" w:hAnsi="Times New Roman" w:cs="Times New Roman"/>
                <w:lang w:val="en-US" w:eastAsia="ru-RU"/>
              </w:rPr>
              <w:t>2</w:t>
            </w:r>
          </w:p>
        </w:tc>
        <w:tc>
          <w:tcPr>
            <w:tcW w:w="1464"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A46A65" w:rsidRPr="00495A53" w:rsidRDefault="00A46A65" w:rsidP="00A46A65">
            <w:pPr>
              <w:spacing w:after="0" w:line="240" w:lineRule="auto"/>
              <w:jc w:val="center"/>
              <w:rPr>
                <w:rFonts w:ascii="Times New Roman" w:eastAsia="Times New Roman" w:hAnsi="Times New Roman" w:cs="Times New Roman"/>
                <w:lang w:eastAsia="ru-RU"/>
              </w:rPr>
            </w:pPr>
          </w:p>
        </w:tc>
      </w:tr>
      <w:tr w:rsidR="00BB10BC" w:rsidRPr="00495A53" w:rsidTr="00DE5506">
        <w:trPr>
          <w:trHeight w:val="20"/>
          <w:jc w:val="center"/>
        </w:trPr>
        <w:tc>
          <w:tcPr>
            <w:tcW w:w="640" w:type="dxa"/>
          </w:tcPr>
          <w:p w:rsidR="00BB10BC" w:rsidRPr="00495A53" w:rsidRDefault="00BB10BC" w:rsidP="00BB10B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3154" w:type="dxa"/>
            <w:tcBorders>
              <w:top w:val="single" w:sz="5" w:space="0" w:color="auto"/>
              <w:left w:val="single" w:sz="5" w:space="0" w:color="auto"/>
              <w:bottom w:val="single" w:sz="5" w:space="0" w:color="auto"/>
            </w:tcBorders>
            <w:shd w:val="clear" w:color="FFFFFF" w:fill="auto"/>
          </w:tcPr>
          <w:p w:rsidR="00BB10BC" w:rsidRPr="00BB10BC" w:rsidRDefault="00BB10BC" w:rsidP="00BB10BC">
            <w:pPr>
              <w:spacing w:after="0" w:line="240" w:lineRule="auto"/>
              <w:jc w:val="center"/>
              <w:rPr>
                <w:rFonts w:ascii="Times New Roman" w:hAnsi="Times New Roman" w:cs="Times New Roman"/>
                <w:lang w:eastAsia="ru-RU"/>
              </w:rPr>
            </w:pPr>
            <w:r w:rsidRPr="00BB10BC">
              <w:rPr>
                <w:rFonts w:ascii="Times New Roman" w:hAnsi="Times New Roman" w:cs="Times New Roman"/>
                <w:lang w:eastAsia="ru-RU"/>
              </w:rPr>
              <w:t>C-реактивный белок (СРБ) ИВД, набор, нефелометрический/турбидиметрический анализ</w:t>
            </w:r>
          </w:p>
        </w:tc>
        <w:tc>
          <w:tcPr>
            <w:tcW w:w="4238" w:type="dxa"/>
            <w:tcBorders>
              <w:top w:val="single" w:sz="5" w:space="0" w:color="auto"/>
              <w:left w:val="single" w:sz="5" w:space="0" w:color="auto"/>
              <w:bottom w:val="single" w:sz="5" w:space="0" w:color="auto"/>
              <w:right w:val="single" w:sz="5" w:space="0" w:color="auto"/>
            </w:tcBorders>
            <w:shd w:val="clear" w:color="FFFFFF" w:fill="auto"/>
          </w:tcPr>
          <w:p w:rsidR="00BB10BC" w:rsidRPr="00BB10BC" w:rsidRDefault="00BB10BC" w:rsidP="00BB10BC">
            <w:pPr>
              <w:spacing w:after="0" w:line="240" w:lineRule="auto"/>
              <w:rPr>
                <w:rFonts w:ascii="Times New Roman" w:hAnsi="Times New Roman" w:cs="Times New Roman"/>
                <w:lang w:eastAsia="ru-RU"/>
              </w:rPr>
            </w:pPr>
            <w:r w:rsidRPr="00BB10BC">
              <w:rPr>
                <w:rFonts w:ascii="Times New Roman" w:hAnsi="Times New Roman" w:cs="Times New Roman"/>
                <w:lang w:eastAsia="ru-RU"/>
              </w:rPr>
              <w:t xml:space="preserve">Количество выполняемых тестов: ≥ 200 Штук; Назначение: Для анализаторов серии ARHITECT. </w:t>
            </w:r>
          </w:p>
          <w:p w:rsidR="00BB10BC" w:rsidRPr="00BB10BC" w:rsidRDefault="00BB10BC" w:rsidP="00BB10BC">
            <w:pPr>
              <w:spacing w:after="0" w:line="240" w:lineRule="auto"/>
              <w:rPr>
                <w:rFonts w:ascii="Times New Roman" w:hAnsi="Times New Roman" w:cs="Times New Roman"/>
                <w:bCs/>
                <w:lang w:eastAsia="ru-RU"/>
              </w:rPr>
            </w:pPr>
            <w:r w:rsidRPr="00BB10BC">
              <w:rPr>
                <w:rFonts w:ascii="Times New Roman" w:hAnsi="Times New Roman" w:cs="Times New Roman"/>
                <w:bCs/>
                <w:lang w:eastAsia="ru-RU"/>
              </w:rPr>
              <w:t xml:space="preserve">Дополнительная информация*:  </w:t>
            </w:r>
          </w:p>
          <w:p w:rsidR="00BB10BC" w:rsidRPr="00BB10BC" w:rsidRDefault="00BB10BC" w:rsidP="00BB10BC">
            <w:pPr>
              <w:spacing w:after="0" w:line="240" w:lineRule="auto"/>
              <w:rPr>
                <w:rFonts w:ascii="Times New Roman" w:hAnsi="Times New Roman" w:cs="Times New Roman"/>
                <w:bCs/>
                <w:lang w:eastAsia="ru-RU"/>
              </w:rPr>
            </w:pPr>
            <w:r w:rsidRPr="00BB10BC">
              <w:rPr>
                <w:rFonts w:ascii="Times New Roman" w:hAnsi="Times New Roman" w:cs="Times New Roman"/>
                <w:bCs/>
                <w:lang w:eastAsia="ru-RU"/>
              </w:rPr>
              <w:t>Фасовка: Реагент 1- не менее 3 флакона по 86 мл; Реагент 2- не менее 3 флакона по 86 мл.</w:t>
            </w:r>
            <w:r w:rsidR="00AD7E46">
              <w:rPr>
                <w:rFonts w:ascii="Times New Roman" w:hAnsi="Times New Roman" w:cs="Times New Roman"/>
                <w:bCs/>
                <w:lang w:eastAsia="ru-RU"/>
              </w:rPr>
              <w:t xml:space="preserve"> (</w:t>
            </w:r>
            <w:r w:rsidRPr="00BB10BC">
              <w:rPr>
                <w:rFonts w:ascii="Times New Roman" w:hAnsi="Times New Roman" w:cs="Times New Roman"/>
                <w:bCs/>
                <w:lang w:eastAsia="ru-RU"/>
              </w:rPr>
              <w:t>Оптимальная фасовка, подходя</w:t>
            </w:r>
            <w:r w:rsidR="00AD7E46">
              <w:rPr>
                <w:rFonts w:ascii="Times New Roman" w:hAnsi="Times New Roman" w:cs="Times New Roman"/>
                <w:bCs/>
                <w:lang w:eastAsia="ru-RU"/>
              </w:rPr>
              <w:t xml:space="preserve">щая к приборам ARCHITECT с </w:t>
            </w:r>
            <w:r w:rsidRPr="00BB10BC">
              <w:rPr>
                <w:rFonts w:ascii="Times New Roman" w:hAnsi="Times New Roman" w:cs="Times New Roman"/>
                <w:bCs/>
                <w:lang w:eastAsia="ru-RU"/>
              </w:rPr>
              <w:t>имеющимся у Заказчика)</w:t>
            </w:r>
          </w:p>
          <w:p w:rsidR="00BB10BC" w:rsidRPr="00BB10BC" w:rsidRDefault="00BB10BC" w:rsidP="00BB10BC">
            <w:pPr>
              <w:spacing w:after="0" w:line="240" w:lineRule="auto"/>
              <w:rPr>
                <w:rFonts w:ascii="Times New Roman" w:hAnsi="Times New Roman" w:cs="Times New Roman"/>
                <w:bCs/>
                <w:lang w:eastAsia="ru-RU"/>
              </w:rPr>
            </w:pPr>
            <w:r w:rsidRPr="00BB10BC">
              <w:rPr>
                <w:rFonts w:ascii="Times New Roman" w:hAnsi="Times New Roman" w:cs="Times New Roman"/>
                <w:bCs/>
                <w:lang w:eastAsia="ru-RU"/>
              </w:rPr>
              <w:t xml:space="preserve">Количество </w:t>
            </w:r>
            <w:r w:rsidR="00AD7E46">
              <w:rPr>
                <w:rFonts w:ascii="Times New Roman" w:hAnsi="Times New Roman" w:cs="Times New Roman"/>
                <w:bCs/>
                <w:lang w:eastAsia="ru-RU"/>
              </w:rPr>
              <w:t>тестов: не менее 1 836 тестов (</w:t>
            </w:r>
            <w:r w:rsidRPr="00BB10BC">
              <w:rPr>
                <w:rFonts w:ascii="Times New Roman" w:hAnsi="Times New Roman" w:cs="Times New Roman"/>
                <w:bCs/>
                <w:lang w:eastAsia="ru-RU"/>
              </w:rPr>
              <w:t xml:space="preserve">Является минимально необходимым, позволяющим выполнять запланированное количество исследований)  </w:t>
            </w:r>
          </w:p>
          <w:p w:rsidR="00BB10BC" w:rsidRPr="00BB10BC" w:rsidRDefault="00BB10BC" w:rsidP="00BB10BC">
            <w:pPr>
              <w:spacing w:after="0" w:line="240" w:lineRule="auto"/>
              <w:rPr>
                <w:rFonts w:ascii="Times New Roman" w:hAnsi="Times New Roman" w:cs="Times New Roman"/>
                <w:b/>
                <w:bCs/>
                <w:lang w:eastAsia="ru-RU"/>
              </w:rPr>
            </w:pPr>
            <w:r w:rsidRPr="00BB10BC">
              <w:rPr>
                <w:rFonts w:ascii="Times New Roman" w:hAnsi="Times New Roman" w:cs="Times New Roman"/>
                <w:b/>
                <w:bCs/>
                <w:lang w:eastAsia="ru-RU"/>
              </w:rPr>
              <w:t xml:space="preserve">Дополнительная информация*:  </w:t>
            </w:r>
            <w:r w:rsidRPr="00BB10BC">
              <w:rPr>
                <w:rFonts w:ascii="Times New Roman" w:hAnsi="Times New Roman" w:cs="Times New Roman"/>
                <w:bCs/>
                <w:lang w:eastAsia="ru-RU"/>
              </w:rPr>
              <w:t xml:space="preserve">                                                                             </w:t>
            </w:r>
          </w:p>
          <w:p w:rsidR="00BB10BC" w:rsidRPr="00BB10BC" w:rsidRDefault="00AD7E46" w:rsidP="00BB10BC">
            <w:pPr>
              <w:spacing w:after="0" w:line="240" w:lineRule="auto"/>
              <w:rPr>
                <w:rFonts w:ascii="Times New Roman" w:hAnsi="Times New Roman" w:cs="Times New Roman"/>
                <w:bCs/>
                <w:lang w:eastAsia="ru-RU"/>
              </w:rPr>
            </w:pPr>
            <w:r>
              <w:rPr>
                <w:rFonts w:ascii="Times New Roman" w:hAnsi="Times New Roman" w:cs="Times New Roman"/>
                <w:bCs/>
                <w:lang w:eastAsia="ru-RU"/>
              </w:rPr>
              <w:t>Совместим с</w:t>
            </w:r>
            <w:r w:rsidR="00BB10BC" w:rsidRPr="00BB10BC">
              <w:rPr>
                <w:rFonts w:ascii="Times New Roman" w:hAnsi="Times New Roman" w:cs="Times New Roman"/>
                <w:bCs/>
                <w:lang w:eastAsia="ru-RU"/>
              </w:rPr>
              <w:t xml:space="preserve"> автоматическим биохимическим анализатором ARCHITECT с4000 имеющимся у заказчика, не вызывает сбоев в работе анализатора, не снижает достоверность результатов исследований</w:t>
            </w:r>
          </w:p>
          <w:p w:rsidR="00BB10BC" w:rsidRPr="00BB10BC" w:rsidRDefault="00BB10BC" w:rsidP="00BB10BC">
            <w:pPr>
              <w:spacing w:after="0" w:line="240" w:lineRule="auto"/>
              <w:rPr>
                <w:rFonts w:ascii="Times New Roman" w:hAnsi="Times New Roman" w:cs="Times New Roman"/>
                <w:lang w:eastAsia="ru-RU"/>
              </w:rPr>
            </w:pPr>
          </w:p>
        </w:tc>
        <w:tc>
          <w:tcPr>
            <w:tcW w:w="1582" w:type="dxa"/>
            <w:tcBorders>
              <w:top w:val="single" w:sz="5" w:space="0" w:color="auto"/>
              <w:left w:val="single" w:sz="5" w:space="0" w:color="auto"/>
              <w:bottom w:val="single" w:sz="5" w:space="0" w:color="auto"/>
            </w:tcBorders>
            <w:shd w:val="clear" w:color="FFFFFF" w:fill="auto"/>
          </w:tcPr>
          <w:p w:rsidR="00BB10BC" w:rsidRPr="00BB10BC" w:rsidRDefault="00BB10BC" w:rsidP="00BB10BC">
            <w:pPr>
              <w:spacing w:after="0" w:line="240" w:lineRule="auto"/>
              <w:jc w:val="center"/>
              <w:rPr>
                <w:rFonts w:ascii="Times New Roman" w:hAnsi="Times New Roman" w:cs="Times New Roman"/>
                <w:lang w:eastAsia="ru-RU"/>
              </w:rPr>
            </w:pPr>
            <w:r w:rsidRPr="00BB10BC">
              <w:rPr>
                <w:rFonts w:ascii="Times New Roman" w:hAnsi="Times New Roman" w:cs="Times New Roman"/>
                <w:lang w:eastAsia="ru-RU"/>
              </w:rPr>
              <w:t>21.20.23.110-00003394</w:t>
            </w:r>
            <w:r>
              <w:rPr>
                <w:rFonts w:ascii="Times New Roman" w:hAnsi="Times New Roman" w:cs="Times New Roman"/>
                <w:lang w:eastAsia="ru-RU"/>
              </w:rPr>
              <w:t>*</w:t>
            </w:r>
          </w:p>
          <w:p w:rsidR="00BB10BC" w:rsidRPr="00BB10BC" w:rsidRDefault="00BB10BC" w:rsidP="00BB10BC">
            <w:pPr>
              <w:spacing w:after="0" w:line="240" w:lineRule="auto"/>
              <w:jc w:val="center"/>
              <w:rPr>
                <w:rFonts w:ascii="Times New Roman" w:hAnsi="Times New Roman" w:cs="Times New Roman"/>
                <w:lang w:eastAsia="ru-RU"/>
              </w:rPr>
            </w:pPr>
          </w:p>
        </w:tc>
        <w:tc>
          <w:tcPr>
            <w:tcW w:w="866" w:type="dxa"/>
            <w:tcBorders>
              <w:top w:val="single" w:sz="5" w:space="0" w:color="auto"/>
              <w:left w:val="single" w:sz="5" w:space="0" w:color="auto"/>
              <w:bottom w:val="single" w:sz="5" w:space="0" w:color="auto"/>
            </w:tcBorders>
            <w:shd w:val="clear" w:color="FFFFFF" w:fill="auto"/>
          </w:tcPr>
          <w:p w:rsidR="00BB10BC" w:rsidRPr="00BB10BC" w:rsidRDefault="00BB10BC" w:rsidP="00BB10BC">
            <w:pPr>
              <w:spacing w:after="0" w:line="240" w:lineRule="auto"/>
              <w:jc w:val="center"/>
              <w:rPr>
                <w:rFonts w:ascii="Times New Roman" w:hAnsi="Times New Roman" w:cs="Times New Roman"/>
                <w:lang w:eastAsia="ru-RU"/>
              </w:rPr>
            </w:pPr>
            <w:r>
              <w:rPr>
                <w:rFonts w:ascii="Times New Roman" w:hAnsi="Times New Roman" w:cs="Times New Roman"/>
                <w:lang w:eastAsia="ru-RU"/>
              </w:rPr>
              <w:t>штука</w:t>
            </w:r>
          </w:p>
        </w:tc>
        <w:tc>
          <w:tcPr>
            <w:tcW w:w="930" w:type="dxa"/>
            <w:tcBorders>
              <w:top w:val="single" w:sz="5" w:space="0" w:color="auto"/>
              <w:left w:val="single" w:sz="5" w:space="0" w:color="auto"/>
              <w:bottom w:val="single" w:sz="5" w:space="0" w:color="auto"/>
              <w:right w:val="single" w:sz="5" w:space="0" w:color="auto"/>
            </w:tcBorders>
            <w:shd w:val="clear" w:color="FFFFFF" w:fill="auto"/>
          </w:tcPr>
          <w:p w:rsidR="00BB10BC" w:rsidRPr="00BB10BC" w:rsidRDefault="00BB10BC" w:rsidP="00BB10BC">
            <w:pPr>
              <w:spacing w:after="0" w:line="240" w:lineRule="auto"/>
              <w:jc w:val="center"/>
              <w:rPr>
                <w:rFonts w:ascii="Times New Roman" w:hAnsi="Times New Roman" w:cs="Times New Roman"/>
                <w:lang w:eastAsia="ru-RU"/>
              </w:rPr>
            </w:pPr>
            <w:r w:rsidRPr="00BB10BC">
              <w:rPr>
                <w:rFonts w:ascii="Times New Roman" w:hAnsi="Times New Roman" w:cs="Times New Roman"/>
                <w:lang w:eastAsia="ru-RU"/>
              </w:rPr>
              <w:t>4</w:t>
            </w:r>
          </w:p>
        </w:tc>
        <w:tc>
          <w:tcPr>
            <w:tcW w:w="1464" w:type="dxa"/>
            <w:shd w:val="clear" w:color="auto" w:fill="FFFFCC"/>
          </w:tcPr>
          <w:p w:rsidR="00BB10BC" w:rsidRPr="00495A53" w:rsidRDefault="00BB10BC" w:rsidP="00BB10BC">
            <w:pPr>
              <w:spacing w:after="0" w:line="240" w:lineRule="auto"/>
              <w:jc w:val="center"/>
              <w:rPr>
                <w:rFonts w:ascii="Times New Roman" w:eastAsia="Times New Roman" w:hAnsi="Times New Roman" w:cs="Times New Roman"/>
                <w:lang w:eastAsia="ru-RU"/>
              </w:rPr>
            </w:pPr>
          </w:p>
        </w:tc>
        <w:tc>
          <w:tcPr>
            <w:tcW w:w="781" w:type="dxa"/>
            <w:shd w:val="clear" w:color="auto" w:fill="FFFFCC"/>
          </w:tcPr>
          <w:p w:rsidR="00BB10BC" w:rsidRPr="00495A53" w:rsidRDefault="00BB10BC" w:rsidP="00BB10BC">
            <w:pPr>
              <w:spacing w:after="0" w:line="240" w:lineRule="auto"/>
              <w:jc w:val="center"/>
              <w:rPr>
                <w:rFonts w:ascii="Times New Roman" w:eastAsia="Times New Roman" w:hAnsi="Times New Roman" w:cs="Times New Roman"/>
                <w:lang w:eastAsia="ru-RU"/>
              </w:rPr>
            </w:pPr>
          </w:p>
        </w:tc>
        <w:tc>
          <w:tcPr>
            <w:tcW w:w="935" w:type="dxa"/>
            <w:shd w:val="clear" w:color="auto" w:fill="FFFFCC"/>
          </w:tcPr>
          <w:p w:rsidR="00BB10BC" w:rsidRPr="00495A53" w:rsidRDefault="00BB10BC" w:rsidP="00BB10B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BB10BC" w:rsidRPr="00495A53" w:rsidRDefault="00BB10BC" w:rsidP="00BB10BC">
            <w:pPr>
              <w:spacing w:after="0" w:line="240" w:lineRule="auto"/>
              <w:jc w:val="center"/>
              <w:rPr>
                <w:rFonts w:ascii="Times New Roman" w:eastAsia="Times New Roman" w:hAnsi="Times New Roman" w:cs="Times New Roman"/>
                <w:lang w:eastAsia="ru-RU"/>
              </w:rPr>
            </w:pPr>
          </w:p>
        </w:tc>
      </w:tr>
    </w:tbl>
    <w:p w:rsidR="00173F9F" w:rsidRDefault="00173F9F" w:rsidP="00173F9F">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r>
        <w:rPr>
          <w:rFonts w:ascii="Times New Roman" w:eastAsia="Times New Roman" w:hAnsi="Times New Roman" w:cs="Times New Roman"/>
          <w:b/>
          <w:bCs/>
          <w:i/>
          <w:color w:val="000000"/>
          <w:lang w:eastAsia="ru-RU"/>
        </w:rPr>
        <w:t>.</w:t>
      </w:r>
    </w:p>
    <w:p w:rsidR="00173F9F" w:rsidRDefault="00173F9F" w:rsidP="00173F9F">
      <w:pPr>
        <w:spacing w:after="0" w:line="240" w:lineRule="auto"/>
        <w:rPr>
          <w:rFonts w:ascii="Times New Roman" w:eastAsia="Times New Roman" w:hAnsi="Times New Roman" w:cs="Times New Roman"/>
          <w:b/>
          <w:bCs/>
          <w:i/>
          <w:color w:val="000000"/>
          <w:lang w:eastAsia="ru-RU"/>
        </w:rPr>
      </w:pPr>
    </w:p>
    <w:p w:rsidR="00173F9F"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Требовани</w:t>
      </w:r>
      <w:r>
        <w:rPr>
          <w:rFonts w:ascii="Times New Roman" w:eastAsia="Times New Roman" w:hAnsi="Times New Roman" w:cs="Times New Roman"/>
          <w:b/>
          <w:bCs/>
          <w:i/>
          <w:color w:val="000000"/>
          <w:lang w:eastAsia="ru-RU"/>
        </w:rPr>
        <w:t>я к исполнению контракта в части исключения рисков претензий правообладателей к Заказчику по всем Товарам</w:t>
      </w:r>
      <w:r w:rsidRPr="006D1D70">
        <w:rPr>
          <w:rFonts w:ascii="Times New Roman" w:eastAsia="Times New Roman" w:hAnsi="Times New Roman" w:cs="Times New Roman"/>
          <w:b/>
          <w:bCs/>
          <w:i/>
          <w:color w:val="000000"/>
          <w:lang w:eastAsia="ru-RU"/>
        </w:rPr>
        <w:t>:</w:t>
      </w:r>
    </w:p>
    <w:p w:rsidR="00173F9F" w:rsidRPr="006D1D70"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Pr>
          <w:rFonts w:ascii="Times New Roman" w:eastAsia="Times New Roman" w:hAnsi="Times New Roman" w:cs="Times New Roman"/>
          <w:b/>
          <w:bCs/>
          <w:i/>
          <w:color w:val="000000"/>
          <w:lang w:eastAsia="ru-RU"/>
        </w:rPr>
        <w:t xml:space="preserve"> </w:t>
      </w:r>
      <w:r w:rsidRPr="006D1D70">
        <w:rPr>
          <w:rFonts w:ascii="Times New Roman" w:eastAsia="Times New Roman" w:hAnsi="Times New Roman" w:cs="Times New Roman"/>
          <w:b/>
          <w:bCs/>
          <w:i/>
          <w:color w:val="000000"/>
          <w:lang w:eastAsia="ru-RU"/>
        </w:rPr>
        <w:t>Наличие письменного согласия правообладателя товарного знака поставляемого товара на его использование Поставщиком на территории Российской Федерации, включая реализацию медицинских изделий, с указанием:</w:t>
      </w:r>
    </w:p>
    <w:p w:rsidR="00173F9F" w:rsidRPr="006D1D70"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правообладателя;</w:t>
      </w:r>
    </w:p>
    <w:p w:rsidR="00173F9F" w:rsidRPr="006D1D70"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•наименования и реквизитов Поставщика;</w:t>
      </w:r>
    </w:p>
    <w:p w:rsidR="00173F9F" w:rsidRPr="006D1D70"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•перечня товаров, на которые распространяется согласие;</w:t>
      </w:r>
    </w:p>
    <w:p w:rsidR="00173F9F" w:rsidRPr="006D1D70"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173F9F" w:rsidRDefault="00173F9F" w:rsidP="00173F9F">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6D1D70">
        <w:rPr>
          <w:rFonts w:ascii="Times New Roman" w:eastAsia="Times New Roman" w:hAnsi="Times New Roman" w:cs="Times New Roman"/>
          <w:b/>
          <w:bCs/>
          <w:i/>
          <w:color w:val="000000"/>
          <w:lang w:eastAsia="ru-RU"/>
        </w:rPr>
        <w:t>•срока действия согласия.</w:t>
      </w:r>
    </w:p>
    <w:p w:rsidR="00170252" w:rsidRDefault="00170252" w:rsidP="000820E3">
      <w:pPr>
        <w:rPr>
          <w:rFonts w:ascii="Times New Roman" w:hAnsi="Times New Roman" w:cs="Times New Roman"/>
          <w:b/>
          <w:sz w:val="28"/>
          <w:szCs w:val="28"/>
        </w:rPr>
      </w:pPr>
    </w:p>
    <w:sectPr w:rsidR="00170252" w:rsidSect="00173F9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E0" w:rsidRDefault="008318E0">
      <w:pPr>
        <w:spacing w:after="0" w:line="240" w:lineRule="auto"/>
      </w:pPr>
      <w:r>
        <w:separator/>
      </w:r>
    </w:p>
  </w:endnote>
  <w:endnote w:type="continuationSeparator" w:id="0">
    <w:p w:rsidR="008318E0" w:rsidRDefault="0083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73215" w:rsidRDefault="0067321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7321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7321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7321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7321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7321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578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E0" w:rsidRDefault="008318E0">
      <w:pPr>
        <w:spacing w:after="0" w:line="240" w:lineRule="auto"/>
      </w:pPr>
      <w:r>
        <w:separator/>
      </w:r>
    </w:p>
  </w:footnote>
  <w:footnote w:type="continuationSeparator" w:id="0">
    <w:p w:rsidR="008318E0" w:rsidRDefault="008318E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73215" w:rsidRDefault="0067321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73215" w:rsidRDefault="0067321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73215" w:rsidRDefault="0067321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6E5D"/>
    <w:rsid w:val="00076D17"/>
    <w:rsid w:val="000820E3"/>
    <w:rsid w:val="00087E95"/>
    <w:rsid w:val="00095015"/>
    <w:rsid w:val="0009727D"/>
    <w:rsid w:val="000A5E67"/>
    <w:rsid w:val="000A6147"/>
    <w:rsid w:val="000B086C"/>
    <w:rsid w:val="000B41E8"/>
    <w:rsid w:val="000B4857"/>
    <w:rsid w:val="000B76AB"/>
    <w:rsid w:val="000C04D6"/>
    <w:rsid w:val="000C181F"/>
    <w:rsid w:val="000C62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1A4D"/>
    <w:rsid w:val="00153E43"/>
    <w:rsid w:val="0015409D"/>
    <w:rsid w:val="001570CF"/>
    <w:rsid w:val="001608FF"/>
    <w:rsid w:val="00162746"/>
    <w:rsid w:val="0016689A"/>
    <w:rsid w:val="00170252"/>
    <w:rsid w:val="00171C2D"/>
    <w:rsid w:val="00173F9F"/>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3B2F"/>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3215"/>
    <w:rsid w:val="00680267"/>
    <w:rsid w:val="00680B51"/>
    <w:rsid w:val="00680DD0"/>
    <w:rsid w:val="00683724"/>
    <w:rsid w:val="00692F2A"/>
    <w:rsid w:val="006A0CDA"/>
    <w:rsid w:val="006A285B"/>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1B1B"/>
    <w:rsid w:val="007C20A6"/>
    <w:rsid w:val="007C4CF9"/>
    <w:rsid w:val="007D28D0"/>
    <w:rsid w:val="007D2EFB"/>
    <w:rsid w:val="007D4BE6"/>
    <w:rsid w:val="007E016E"/>
    <w:rsid w:val="007E2406"/>
    <w:rsid w:val="007E29E9"/>
    <w:rsid w:val="007F15A5"/>
    <w:rsid w:val="007F4C38"/>
    <w:rsid w:val="007F578C"/>
    <w:rsid w:val="008066C1"/>
    <w:rsid w:val="00807CF5"/>
    <w:rsid w:val="00817D95"/>
    <w:rsid w:val="00822F37"/>
    <w:rsid w:val="008252D7"/>
    <w:rsid w:val="008318E0"/>
    <w:rsid w:val="00832975"/>
    <w:rsid w:val="008404B2"/>
    <w:rsid w:val="00845E9C"/>
    <w:rsid w:val="00851D4A"/>
    <w:rsid w:val="00861E58"/>
    <w:rsid w:val="0086317D"/>
    <w:rsid w:val="008638F3"/>
    <w:rsid w:val="008727D7"/>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6A65"/>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7E46"/>
    <w:rsid w:val="00AE1B0F"/>
    <w:rsid w:val="00AE3138"/>
    <w:rsid w:val="00AF03B1"/>
    <w:rsid w:val="00AF7E0D"/>
    <w:rsid w:val="00B0383F"/>
    <w:rsid w:val="00B12027"/>
    <w:rsid w:val="00B23D79"/>
    <w:rsid w:val="00B24019"/>
    <w:rsid w:val="00B32574"/>
    <w:rsid w:val="00B33706"/>
    <w:rsid w:val="00B35BFC"/>
    <w:rsid w:val="00B41731"/>
    <w:rsid w:val="00B61169"/>
    <w:rsid w:val="00B664DC"/>
    <w:rsid w:val="00B666D7"/>
    <w:rsid w:val="00B66D35"/>
    <w:rsid w:val="00B67E6D"/>
    <w:rsid w:val="00B77DAE"/>
    <w:rsid w:val="00B8743B"/>
    <w:rsid w:val="00B96A23"/>
    <w:rsid w:val="00BA5FF8"/>
    <w:rsid w:val="00BB10BC"/>
    <w:rsid w:val="00BB195D"/>
    <w:rsid w:val="00BC0D28"/>
    <w:rsid w:val="00BE3F70"/>
    <w:rsid w:val="00BE4CB3"/>
    <w:rsid w:val="00BF1D9E"/>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4C9C"/>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7A9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6062-4461-4BE6-AFB6-95E4C465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2025-12-11T12:25:00Z</dcterms:created>
  <dcterms:modified xsi:type="dcterms:W3CDTF">2025-12-11T12:25:00Z</dcterms:modified>
</cp:coreProperties>
</file>