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21.1-03/2338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614D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3431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3431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C3431C">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10" w:type="pct"/>
        <w:tblInd w:w="-34" w:type="dxa"/>
        <w:tblLayout w:type="fixed"/>
        <w:tblLook w:val="04A0" w:firstRow="1" w:lastRow="0" w:firstColumn="1" w:lastColumn="0" w:noHBand="0" w:noVBand="1"/>
      </w:tblPr>
      <w:tblGrid>
        <w:gridCol w:w="309"/>
        <w:gridCol w:w="1249"/>
        <w:gridCol w:w="1134"/>
        <w:gridCol w:w="1694"/>
        <w:gridCol w:w="1285"/>
        <w:gridCol w:w="847"/>
        <w:gridCol w:w="1563"/>
        <w:gridCol w:w="1841"/>
        <w:gridCol w:w="1135"/>
        <w:gridCol w:w="1135"/>
        <w:gridCol w:w="1135"/>
        <w:gridCol w:w="853"/>
        <w:gridCol w:w="991"/>
        <w:gridCol w:w="809"/>
      </w:tblGrid>
      <w:tr w:rsidR="00C3431C" w:rsidRPr="00C3431C" w:rsidTr="00C3431C">
        <w:trPr>
          <w:trHeight w:val="402"/>
        </w:trPr>
        <w:tc>
          <w:tcPr>
            <w:tcW w:w="97" w:type="pct"/>
            <w:vMerge w:val="restart"/>
            <w:tcBorders>
              <w:top w:val="single" w:sz="6" w:space="0" w:color="auto"/>
              <w:left w:val="single" w:sz="6" w:space="0" w:color="auto"/>
              <w:bottom w:val="single" w:sz="6" w:space="0" w:color="auto"/>
              <w:right w:val="single" w:sz="6"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 № пп</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Наименование товара, работы, услуги</w:t>
            </w:r>
          </w:p>
        </w:tc>
        <w:tc>
          <w:tcPr>
            <w:tcW w:w="355" w:type="pct"/>
            <w:vMerge w:val="restart"/>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Код позиции</w:t>
            </w:r>
          </w:p>
        </w:tc>
        <w:tc>
          <w:tcPr>
            <w:tcW w:w="1686" w:type="pct"/>
            <w:gridSpan w:val="4"/>
            <w:tcBorders>
              <w:top w:val="single" w:sz="4" w:space="0" w:color="auto"/>
              <w:left w:val="nil"/>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Характеристики товара, работы, услуги</w:t>
            </w:r>
          </w:p>
        </w:tc>
        <w:tc>
          <w:tcPr>
            <w:tcW w:w="576" w:type="pct"/>
            <w:vMerge w:val="restart"/>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Обоснование характеристик</w:t>
            </w:r>
          </w:p>
        </w:tc>
        <w:tc>
          <w:tcPr>
            <w:tcW w:w="355" w:type="pct"/>
            <w:vMerge w:val="restart"/>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Единица измерения</w:t>
            </w:r>
          </w:p>
        </w:tc>
        <w:tc>
          <w:tcPr>
            <w:tcW w:w="355" w:type="pct"/>
            <w:vMerge w:val="restart"/>
            <w:tcBorders>
              <w:top w:val="single" w:sz="4" w:space="0" w:color="auto"/>
              <w:left w:val="single" w:sz="4" w:space="0" w:color="auto"/>
              <w:bottom w:val="single" w:sz="4" w:space="0" w:color="auto"/>
              <w:right w:val="single" w:sz="4" w:space="0" w:color="auto"/>
            </w:tcBorders>
            <w:vAlign w:val="center"/>
            <w:hideMark/>
          </w:tcPr>
          <w:p w:rsid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Количество</w:t>
            </w:r>
          </w:p>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(объем работы, услуги)</w:t>
            </w:r>
          </w:p>
        </w:tc>
        <w:tc>
          <w:tcPr>
            <w:tcW w:w="355" w:type="pct"/>
            <w:vMerge w:val="restart"/>
            <w:tcBorders>
              <w:top w:val="single" w:sz="4" w:space="0" w:color="auto"/>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b/>
                <w:color w:val="000000"/>
                <w:sz w:val="16"/>
                <w:szCs w:val="16"/>
                <w:lang w:eastAsia="ru-RU"/>
              </w:rPr>
            </w:pPr>
            <w:r w:rsidRPr="00C3431C">
              <w:rPr>
                <w:rFonts w:ascii="Times New Roman" w:eastAsia="Times New Roman" w:hAnsi="Times New Roman" w:cs="Times New Roman"/>
                <w:b/>
                <w:color w:val="000000"/>
                <w:sz w:val="16"/>
                <w:szCs w:val="16"/>
                <w:lang w:eastAsia="ru-RU"/>
              </w:rPr>
              <w:t>Страна происхождения Товара</w:t>
            </w:r>
          </w:p>
        </w:tc>
        <w:tc>
          <w:tcPr>
            <w:tcW w:w="267" w:type="pct"/>
            <w:vMerge w:val="restart"/>
            <w:tcBorders>
              <w:top w:val="single" w:sz="4" w:space="0" w:color="auto"/>
              <w:left w:val="single" w:sz="4" w:space="0" w:color="auto"/>
              <w:bottom w:val="single" w:sz="4" w:space="0" w:color="auto"/>
              <w:right w:val="single" w:sz="4" w:space="0" w:color="auto"/>
            </w:tcBorders>
            <w:noWrap/>
            <w:vAlign w:val="bottom"/>
            <w:hideMark/>
          </w:tcPr>
          <w:p w:rsidR="00C3431C" w:rsidRDefault="00C3431C" w:rsidP="008D22B2">
            <w:pPr>
              <w:spacing w:after="0" w:line="240" w:lineRule="auto"/>
              <w:jc w:val="center"/>
              <w:rPr>
                <w:rFonts w:ascii="Times New Roman" w:eastAsia="Times New Roman" w:hAnsi="Times New Roman" w:cs="Times New Roman"/>
                <w:b/>
                <w:color w:val="000000"/>
                <w:sz w:val="16"/>
                <w:szCs w:val="16"/>
                <w:lang w:eastAsia="ru-RU"/>
              </w:rPr>
            </w:pPr>
            <w:r w:rsidRPr="00C3431C">
              <w:rPr>
                <w:rFonts w:ascii="Times New Roman" w:eastAsia="Times New Roman" w:hAnsi="Times New Roman" w:cs="Times New Roman"/>
                <w:b/>
                <w:color w:val="000000"/>
                <w:sz w:val="16"/>
                <w:szCs w:val="16"/>
                <w:lang w:eastAsia="ru-RU"/>
              </w:rPr>
              <w:t>Ставка НДС%</w:t>
            </w:r>
          </w:p>
          <w:p w:rsidR="00C3431C" w:rsidRPr="00C3431C" w:rsidRDefault="00C3431C" w:rsidP="008D22B2">
            <w:pPr>
              <w:spacing w:after="0" w:line="240" w:lineRule="auto"/>
              <w:jc w:val="center"/>
              <w:rPr>
                <w:rFonts w:ascii="Times New Roman" w:eastAsia="Times New Roman" w:hAnsi="Times New Roman" w:cs="Times New Roman"/>
                <w:b/>
                <w:color w:val="000000"/>
                <w:sz w:val="16"/>
                <w:szCs w:val="16"/>
                <w:lang w:eastAsia="ru-RU"/>
              </w:rPr>
            </w:pPr>
          </w:p>
        </w:tc>
        <w:tc>
          <w:tcPr>
            <w:tcW w:w="310" w:type="pct"/>
            <w:vMerge w:val="restart"/>
            <w:tcBorders>
              <w:top w:val="single" w:sz="4" w:space="0" w:color="auto"/>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b/>
                <w:color w:val="000000"/>
                <w:sz w:val="16"/>
                <w:szCs w:val="16"/>
                <w:lang w:eastAsia="ru-RU"/>
              </w:rPr>
            </w:pPr>
            <w:r w:rsidRPr="00C3431C">
              <w:rPr>
                <w:rFonts w:ascii="Times New Roman" w:eastAsia="Times New Roman" w:hAnsi="Times New Roman" w:cs="Times New Roman"/>
                <w:b/>
                <w:color w:val="000000"/>
                <w:sz w:val="16"/>
                <w:szCs w:val="16"/>
                <w:lang w:eastAsia="ru-RU"/>
              </w:rPr>
              <w:t>Цена за ед. без НДС</w:t>
            </w:r>
          </w:p>
        </w:tc>
        <w:tc>
          <w:tcPr>
            <w:tcW w:w="253" w:type="pct"/>
            <w:vMerge w:val="restart"/>
            <w:tcBorders>
              <w:top w:val="single" w:sz="4" w:space="0" w:color="auto"/>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b/>
                <w:color w:val="000000"/>
                <w:sz w:val="16"/>
                <w:szCs w:val="16"/>
                <w:lang w:eastAsia="ru-RU"/>
              </w:rPr>
            </w:pPr>
            <w:r w:rsidRPr="00C3431C">
              <w:rPr>
                <w:rFonts w:ascii="Times New Roman" w:eastAsia="Times New Roman" w:hAnsi="Times New Roman" w:cs="Times New Roman"/>
                <w:b/>
                <w:color w:val="000000"/>
                <w:sz w:val="16"/>
                <w:szCs w:val="16"/>
                <w:lang w:eastAsia="ru-RU"/>
              </w:rPr>
              <w:t>Сумма без НДС</w:t>
            </w:r>
          </w:p>
        </w:tc>
      </w:tr>
      <w:tr w:rsidR="00C3431C" w:rsidRPr="00C3431C" w:rsidTr="00C3431C">
        <w:trPr>
          <w:trHeight w:val="402"/>
        </w:trPr>
        <w:tc>
          <w:tcPr>
            <w:tcW w:w="97" w:type="pct"/>
            <w:vMerge/>
            <w:tcBorders>
              <w:top w:val="single" w:sz="6" w:space="0" w:color="auto"/>
              <w:left w:val="single" w:sz="6" w:space="0" w:color="auto"/>
              <w:bottom w:val="single" w:sz="6" w:space="0" w:color="auto"/>
              <w:right w:val="single" w:sz="6"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530" w:type="pct"/>
            <w:tcBorders>
              <w:top w:val="nil"/>
              <w:left w:val="nil"/>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Наименование характеристики</w:t>
            </w:r>
          </w:p>
        </w:tc>
        <w:tc>
          <w:tcPr>
            <w:tcW w:w="402" w:type="pct"/>
            <w:tcBorders>
              <w:top w:val="nil"/>
              <w:left w:val="nil"/>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Значение характеристики</w:t>
            </w:r>
          </w:p>
        </w:tc>
        <w:tc>
          <w:tcPr>
            <w:tcW w:w="265" w:type="pct"/>
            <w:tcBorders>
              <w:top w:val="nil"/>
              <w:left w:val="nil"/>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Единица измерения характеристики</w:t>
            </w:r>
          </w:p>
        </w:tc>
        <w:tc>
          <w:tcPr>
            <w:tcW w:w="489" w:type="pct"/>
            <w:tcBorders>
              <w:top w:val="nil"/>
              <w:left w:val="nil"/>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b/>
                <w:bCs/>
                <w:color w:val="000000"/>
                <w:sz w:val="16"/>
                <w:szCs w:val="16"/>
                <w:lang w:eastAsia="ru-RU"/>
              </w:rPr>
            </w:pPr>
            <w:r w:rsidRPr="00C3431C">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b/>
                <w:bCs/>
                <w:color w:val="000000"/>
                <w:sz w:val="16"/>
                <w:szCs w:val="16"/>
                <w:lang w:eastAsia="ru-RU"/>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243"/>
        </w:trPr>
        <w:tc>
          <w:tcPr>
            <w:tcW w:w="97" w:type="pct"/>
            <w:vMerge w:val="restart"/>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jc w:val="center"/>
              <w:rPr>
                <w:rFonts w:ascii="Times New Roman" w:eastAsia="Times New Roman" w:hAnsi="Times New Roman" w:cs="Times New Roman"/>
                <w:sz w:val="16"/>
                <w:szCs w:val="16"/>
                <w:lang w:eastAsia="ru-RU"/>
              </w:rPr>
            </w:pPr>
            <w:r w:rsidRPr="00C3431C">
              <w:rPr>
                <w:rFonts w:ascii="Times New Roman" w:eastAsia="Times New Roman" w:hAnsi="Times New Roman" w:cs="Times New Roman"/>
                <w:sz w:val="16"/>
                <w:szCs w:val="16"/>
                <w:lang w:eastAsia="ru-RU"/>
              </w:rPr>
              <w:t>1</w:t>
            </w:r>
          </w:p>
        </w:tc>
        <w:tc>
          <w:tcPr>
            <w:tcW w:w="391" w:type="pct"/>
            <w:vMerge w:val="restart"/>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sz w:val="16"/>
                <w:szCs w:val="16"/>
                <w:lang w:eastAsia="ru-RU"/>
              </w:rPr>
            </w:pPr>
            <w:r w:rsidRPr="00C3431C">
              <w:rPr>
                <w:rFonts w:ascii="Times New Roman" w:hAnsi="Times New Roman" w:cs="Times New Roman"/>
                <w:sz w:val="16"/>
                <w:szCs w:val="16"/>
                <w:shd w:val="clear" w:color="auto" w:fill="FFFFFF"/>
              </w:rPr>
              <w:t>Набор для внутривенных вливаний через инфузионный контроллер</w:t>
            </w:r>
          </w:p>
        </w:tc>
        <w:tc>
          <w:tcPr>
            <w:tcW w:w="355" w:type="pct"/>
            <w:vMerge w:val="restart"/>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sz w:val="16"/>
                <w:szCs w:val="16"/>
                <w:lang w:eastAsia="ru-RU"/>
              </w:rPr>
            </w:pPr>
            <w:r w:rsidRPr="00C3431C">
              <w:rPr>
                <w:rFonts w:ascii="Times New Roman" w:eastAsia="Times New Roman" w:hAnsi="Times New Roman" w:cs="Times New Roman"/>
                <w:sz w:val="16"/>
                <w:szCs w:val="16"/>
                <w:lang w:eastAsia="ru-RU"/>
              </w:rPr>
              <w:t>32.50.13.190-00007533*</w:t>
            </w:r>
          </w:p>
        </w:tc>
        <w:tc>
          <w:tcPr>
            <w:tcW w:w="2262" w:type="pct"/>
            <w:gridSpan w:val="5"/>
            <w:tcBorders>
              <w:top w:val="single" w:sz="4" w:space="0" w:color="auto"/>
              <w:left w:val="nil"/>
              <w:bottom w:val="single" w:sz="4" w:space="0" w:color="auto"/>
              <w:right w:val="single" w:sz="4" w:space="0" w:color="auto"/>
            </w:tcBorders>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Состав:</w:t>
            </w:r>
          </w:p>
        </w:tc>
        <w:tc>
          <w:tcPr>
            <w:tcW w:w="355" w:type="pct"/>
            <w:vMerge w:val="restart"/>
            <w:tcBorders>
              <w:top w:val="nil"/>
              <w:left w:val="single" w:sz="4" w:space="0" w:color="auto"/>
              <w:bottom w:val="single" w:sz="4" w:space="0" w:color="auto"/>
              <w:right w:val="single" w:sz="4" w:space="0" w:color="auto"/>
            </w:tcBorders>
            <w:vAlign w:val="center"/>
            <w:hideMark/>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штука</w:t>
            </w:r>
          </w:p>
        </w:tc>
        <w:tc>
          <w:tcPr>
            <w:tcW w:w="355" w:type="pct"/>
            <w:vMerge w:val="restart"/>
            <w:tcBorders>
              <w:top w:val="nil"/>
              <w:left w:val="single" w:sz="4" w:space="0" w:color="auto"/>
              <w:bottom w:val="single" w:sz="4" w:space="0" w:color="auto"/>
              <w:right w:val="single" w:sz="4" w:space="0" w:color="auto"/>
            </w:tcBorders>
            <w:vAlign w:val="center"/>
            <w:hideMark/>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8838</w:t>
            </w:r>
          </w:p>
        </w:tc>
        <w:tc>
          <w:tcPr>
            <w:tcW w:w="355" w:type="pct"/>
            <w:vMerge w:val="restart"/>
            <w:tcBorders>
              <w:top w:val="nil"/>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 </w:t>
            </w:r>
          </w:p>
        </w:tc>
        <w:tc>
          <w:tcPr>
            <w:tcW w:w="267" w:type="pct"/>
            <w:vMerge w:val="restart"/>
            <w:tcBorders>
              <w:top w:val="nil"/>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 </w:t>
            </w:r>
          </w:p>
        </w:tc>
        <w:tc>
          <w:tcPr>
            <w:tcW w:w="310" w:type="pct"/>
            <w:vMerge w:val="restart"/>
            <w:tcBorders>
              <w:top w:val="nil"/>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 </w:t>
            </w:r>
          </w:p>
        </w:tc>
        <w:tc>
          <w:tcPr>
            <w:tcW w:w="253" w:type="pct"/>
            <w:vMerge w:val="restart"/>
            <w:tcBorders>
              <w:top w:val="nil"/>
              <w:left w:val="single" w:sz="4" w:space="0" w:color="auto"/>
              <w:bottom w:val="single" w:sz="4" w:space="0" w:color="auto"/>
              <w:right w:val="single" w:sz="4" w:space="0" w:color="auto"/>
            </w:tcBorders>
            <w:noWrap/>
            <w:vAlign w:val="bottom"/>
            <w:hideMark/>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 </w:t>
            </w: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highlight w:val="yellow"/>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highlight w:val="yellow"/>
                <w:lang w:eastAsia="ru-RU"/>
              </w:rPr>
            </w:pPr>
          </w:p>
        </w:tc>
        <w:tc>
          <w:tcPr>
            <w:tcW w:w="530" w:type="pct"/>
            <w:tcBorders>
              <w:top w:val="single" w:sz="4" w:space="0" w:color="auto"/>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Пункционный наконечник</w:t>
            </w:r>
          </w:p>
        </w:tc>
        <w:tc>
          <w:tcPr>
            <w:tcW w:w="402"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p>
        </w:tc>
        <w:tc>
          <w:tcPr>
            <w:tcW w:w="489" w:type="pct"/>
            <w:tcBorders>
              <w:top w:val="single" w:sz="4" w:space="0" w:color="auto"/>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single" w:sz="4" w:space="0" w:color="auto"/>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Для прокола бутылки/флакона</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highlight w:val="yellow"/>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highlight w:val="yellow"/>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 xml:space="preserve">Вентиляционный канал </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single" w:sz="4" w:space="0" w:color="auto"/>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Необходим для выравнивания давления внутри флакона</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Антибактериальный фильтр вентиляционного канала</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Фильтр снижает риск попадания микроорганизмов через открытый вентиляционный канал в инфузионную систему и тем самым снижает риск бактериального загрязнения инфузионного раствора.</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Выделенный капельник: в 1 мл 20 капель</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Для расчета необходимой скорости потока</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Прозрачная верхняя часть капельной камеры</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для четкой визуализации капель при настройке скорости</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Эластичная нижняя часть</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highlight w:val="yellow"/>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для быстрого набора жидкости в капельную камеру (т.н. "озеро")</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vAlign w:val="center"/>
          </w:tcPr>
          <w:p w:rsidR="00C3431C" w:rsidRPr="00C3431C" w:rsidRDefault="00C3431C" w:rsidP="008D22B2">
            <w:pP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Встроенный в капельную камеру гидрофильный непроницаемый для воздуха фильтр тонкой очистки</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Данный фильтр предупреждает риск возникновения воздушной эмболии во время проведения инфузионной терапии и не пропускает воздух в инфузионную трубку; также фильтр позволяет задерживать посторонние твердые частицы, которые могут присутствовать в инфузионных растворах и при инфузии попадать в кровоток пациента.</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Длина инфузионной трубки</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≥180</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см</w:t>
            </w: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576" w:type="pct"/>
            <w:vMerge w:val="restart"/>
            <w:tcBorders>
              <w:top w:val="nil"/>
              <w:left w:val="nil"/>
              <w:right w:val="single" w:sz="4" w:space="0" w:color="auto"/>
            </w:tcBorders>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color w:val="000000"/>
                <w:sz w:val="16"/>
                <w:szCs w:val="16"/>
              </w:rPr>
              <w:t>Требования к размерам составлены с учетом потребностей медицинских специалистов при проведении трансфузионной терапии и обоснованы анатомическими особенностями поступающих в лечебное учреждение пациентов и спецификой проводимой терапии.</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Диаметр инфузионной трубки</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color w:val="000000"/>
                <w:sz w:val="16"/>
                <w:szCs w:val="16"/>
              </w:rPr>
              <w:t>3</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color w:val="000000"/>
                <w:sz w:val="16"/>
                <w:szCs w:val="16"/>
              </w:rPr>
              <w:t>мм</w:t>
            </w:r>
          </w:p>
        </w:tc>
        <w:tc>
          <w:tcPr>
            <w:tcW w:w="489"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vMerge/>
            <w:tcBorders>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sz w:val="16"/>
                <w:szCs w:val="16"/>
                <w:highlight w:val="yellow"/>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Роликовый зажим с разъемами для утилизации наконечника и фиксации трубки</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sz w:val="16"/>
                <w:szCs w:val="16"/>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Разъем для утилизации пункционного наконечника позволяет после завершения инфузии надежно закрепить острый пункционный наконечник на роликовом зажиме, что снижает риск случайной травматизации персонала наконечником во время утилизации инфузионной системы</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Коннектор Люэр Лок на дистальном конце системы </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nil"/>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color w:val="000000"/>
                <w:sz w:val="16"/>
                <w:szCs w:val="16"/>
              </w:rPr>
              <w:t>Для надежного соединения с сосудистым доступом пациента</w:t>
            </w: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hideMark/>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spacing w:after="0" w:line="240" w:lineRule="auto"/>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rPr>
              <w:t>Защитный колпачок с воздуховодом и гидрофобной мембраной</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hAnsi="Times New Roman" w:cs="Times New Roman"/>
                <w:color w:val="000000"/>
                <w:sz w:val="16"/>
                <w:szCs w:val="16"/>
              </w:rPr>
              <w:t>для стерильного заполнения системы без потери лекарственного средства</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nil"/>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Не содержит латекс</w:t>
            </w:r>
          </w:p>
        </w:tc>
        <w:tc>
          <w:tcPr>
            <w:tcW w:w="402"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Соответствие</w:t>
            </w:r>
          </w:p>
        </w:tc>
        <w:tc>
          <w:tcPr>
            <w:tcW w:w="265"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p>
        </w:tc>
        <w:tc>
          <w:tcPr>
            <w:tcW w:w="489" w:type="pct"/>
            <w:tcBorders>
              <w:top w:val="nil"/>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Указание отсутствия определенных материалов требуется для принятия решения о совместимости изделия с лекарственными препаратами.</w:t>
            </w: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top w:val="nil"/>
              <w:left w:val="single" w:sz="4" w:space="0" w:color="auto"/>
              <w:bottom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1840"/>
        </w:trPr>
        <w:tc>
          <w:tcPr>
            <w:tcW w:w="97"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2</w:t>
            </w:r>
          </w:p>
        </w:tc>
        <w:tc>
          <w:tcPr>
            <w:tcW w:w="391"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Устройство для инфузионной терапии</w:t>
            </w:r>
          </w:p>
        </w:tc>
        <w:tc>
          <w:tcPr>
            <w:tcW w:w="355"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highlight w:val="yellow"/>
                <w:lang w:eastAsia="ru-RU"/>
              </w:rPr>
            </w:pPr>
            <w:r w:rsidRPr="00C3431C">
              <w:rPr>
                <w:rFonts w:ascii="Times New Roman" w:eastAsia="Times New Roman" w:hAnsi="Times New Roman" w:cs="Times New Roman"/>
                <w:color w:val="000000"/>
                <w:sz w:val="16"/>
                <w:szCs w:val="16"/>
                <w:lang w:eastAsia="ru-RU"/>
              </w:rPr>
              <w:t>32.50.13. 190</w:t>
            </w: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Прецизионный регулятор скорости инфузии встроенный в инфузионную систему.</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vAlign w:val="center"/>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Соответствует требованиям заказчика</w:t>
            </w:r>
          </w:p>
        </w:tc>
        <w:tc>
          <w:tcPr>
            <w:tcW w:w="355"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штука</w:t>
            </w:r>
          </w:p>
        </w:tc>
        <w:tc>
          <w:tcPr>
            <w:tcW w:w="355"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jc w:val="center"/>
              <w:rPr>
                <w:rFonts w:ascii="Times New Roman" w:eastAsia="Times New Roman" w:hAnsi="Times New Roman" w:cs="Times New Roman"/>
                <w:color w:val="000000"/>
                <w:sz w:val="16"/>
                <w:szCs w:val="16"/>
                <w:lang w:eastAsia="ru-RU"/>
              </w:rPr>
            </w:pPr>
            <w:r w:rsidRPr="00C3431C">
              <w:rPr>
                <w:rFonts w:ascii="Times New Roman" w:eastAsia="Times New Roman" w:hAnsi="Times New Roman" w:cs="Times New Roman"/>
                <w:color w:val="000000"/>
                <w:sz w:val="16"/>
                <w:szCs w:val="16"/>
                <w:lang w:eastAsia="ru-RU"/>
              </w:rPr>
              <w:t>10</w:t>
            </w:r>
          </w:p>
        </w:tc>
        <w:tc>
          <w:tcPr>
            <w:tcW w:w="355"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val="restart"/>
            <w:tcBorders>
              <w:top w:val="single" w:sz="4" w:space="0" w:color="auto"/>
              <w:left w:val="single" w:sz="4" w:space="0" w:color="auto"/>
              <w:bottom w:val="nil"/>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Пункционный наконечник</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vMerge w:val="restart"/>
            <w:tcBorders>
              <w:top w:val="single" w:sz="4" w:space="0" w:color="auto"/>
              <w:left w:val="nil"/>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Для прокола бутылки/флакона</w:t>
            </w:r>
          </w:p>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Для расчета необходимой скорости потока</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выделенный капельник: в 1 мл 20 капель</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vMerge/>
            <w:tcBorders>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прозрачная верхняя часть капельной камеры</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для четкой визуализации капель при настройке скорости</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эластичная нижняя часть </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для быстрого набора жидкости в капельную камеру (т.н. "озеро")</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Встроенный гидрофильный непроницаемый для воздуха фильтр тонкой очистки </w:t>
            </w:r>
          </w:p>
        </w:tc>
        <w:tc>
          <w:tcPr>
            <w:tcW w:w="402"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≥15</w:t>
            </w:r>
          </w:p>
        </w:tc>
        <w:tc>
          <w:tcPr>
            <w:tcW w:w="265"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мкм</w:t>
            </w: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фильтр позволяет задерживать посторонние твердые частицы, которые могут присутствовать в растворах и при инфузии попадать в кровоток пациента.</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Встроенная в инфузионную систему дозирующая камера с круглым, плоским, вращающимся градуированным диском</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Предназначена для регулировки и поддержания постоянной скорости введения медикаментов</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Разъем для крепления к системе и экстренного прерывания инфузии</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Позволяет в случае необходимости быстро, на короткое время прервать процесс инфузионной терапии</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Скользящий зажим </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Скользящий зажим также предназначен для экстренного и кратковременного прерывания инфузии.</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Градуировка, расположенная на диске           от 0 до 250 мл/час</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sz w:val="16"/>
                <w:szCs w:val="16"/>
              </w:rPr>
              <w:t>Ориентировочная шкала для установки скорости потока при вливании физиологического раствора</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Дополнительная маркировка на диске «max» </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sz w:val="16"/>
                <w:szCs w:val="16"/>
              </w:rPr>
            </w:pPr>
            <w:r w:rsidRPr="00C3431C">
              <w:rPr>
                <w:rFonts w:ascii="Times New Roman" w:hAnsi="Times New Roman" w:cs="Times New Roman"/>
                <w:sz w:val="16"/>
                <w:szCs w:val="16"/>
              </w:rPr>
              <w:t>Для определения максимально допустимой скорости инфузии</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Длина</w:t>
            </w:r>
          </w:p>
        </w:tc>
        <w:tc>
          <w:tcPr>
            <w:tcW w:w="402"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≥180</w:t>
            </w:r>
          </w:p>
        </w:tc>
        <w:tc>
          <w:tcPr>
            <w:tcW w:w="265" w:type="pct"/>
            <w:tcBorders>
              <w:top w:val="single" w:sz="4" w:space="0" w:color="auto"/>
              <w:left w:val="nil"/>
              <w:bottom w:val="single" w:sz="4" w:space="0" w:color="auto"/>
              <w:right w:val="single" w:sz="4" w:space="0" w:color="auto"/>
            </w:tcBorders>
            <w:vAlign w:val="center"/>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см</w:t>
            </w: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sz w:val="16"/>
                <w:szCs w:val="16"/>
                <w:lang w:eastAsia="ru-RU"/>
              </w:rPr>
              <w:t>Участник закупки указывает в заявке конкретное значение характеристики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Требования к размерам линии составлены с учетом потребностей медицинских специалистов при проведении инфузионной терапии и обоснованы спецификой проводимой терапии</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r w:rsidR="00C3431C" w:rsidRPr="00C3431C" w:rsidTr="00C3431C">
        <w:trPr>
          <w:trHeight w:val="402"/>
        </w:trPr>
        <w:tc>
          <w:tcPr>
            <w:tcW w:w="9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91"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530" w:type="pct"/>
            <w:tcBorders>
              <w:top w:val="single" w:sz="4" w:space="0" w:color="auto"/>
              <w:left w:val="nil"/>
              <w:bottom w:val="single" w:sz="4" w:space="0" w:color="auto"/>
              <w:right w:val="single" w:sz="4" w:space="0" w:color="auto"/>
            </w:tcBorders>
          </w:tcPr>
          <w:p w:rsidR="00C3431C" w:rsidRPr="00C3431C" w:rsidRDefault="00C3431C" w:rsidP="008D22B2">
            <w:pPr>
              <w:rPr>
                <w:rFonts w:ascii="Times New Roman" w:hAnsi="Times New Roman" w:cs="Times New Roman"/>
                <w:color w:val="000000"/>
                <w:sz w:val="16"/>
                <w:szCs w:val="16"/>
              </w:rPr>
            </w:pPr>
            <w:r w:rsidRPr="00C3431C">
              <w:rPr>
                <w:rFonts w:ascii="Times New Roman" w:hAnsi="Times New Roman" w:cs="Times New Roman"/>
                <w:color w:val="000000"/>
                <w:sz w:val="16"/>
                <w:szCs w:val="16"/>
              </w:rPr>
              <w:t xml:space="preserve">Коннектор Люэр на дистальном конце системы </w:t>
            </w:r>
          </w:p>
        </w:tc>
        <w:tc>
          <w:tcPr>
            <w:tcW w:w="402"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Соответствие</w:t>
            </w:r>
          </w:p>
        </w:tc>
        <w:tc>
          <w:tcPr>
            <w:tcW w:w="265"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p>
        </w:tc>
        <w:tc>
          <w:tcPr>
            <w:tcW w:w="489" w:type="pct"/>
            <w:tcBorders>
              <w:top w:val="single" w:sz="4" w:space="0" w:color="auto"/>
              <w:left w:val="nil"/>
              <w:bottom w:val="single" w:sz="4" w:space="0" w:color="auto"/>
              <w:right w:val="single" w:sz="4" w:space="0" w:color="auto"/>
            </w:tcBorders>
          </w:tcPr>
          <w:p w:rsidR="00C3431C" w:rsidRPr="00C3431C" w:rsidRDefault="00C3431C" w:rsidP="00C3431C">
            <w:pPr>
              <w:spacing w:after="0" w:line="240" w:lineRule="auto"/>
              <w:jc w:val="center"/>
              <w:rPr>
                <w:rFonts w:ascii="Times New Roman" w:hAnsi="Times New Roman" w:cs="Times New Roman"/>
                <w:color w:val="000000"/>
                <w:sz w:val="16"/>
                <w:szCs w:val="16"/>
                <w:lang w:eastAsia="ru-RU"/>
              </w:rPr>
            </w:pPr>
            <w:r w:rsidRPr="00C3431C">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576" w:type="pct"/>
            <w:tcBorders>
              <w:top w:val="single" w:sz="4" w:space="0" w:color="auto"/>
              <w:left w:val="nil"/>
              <w:bottom w:val="single" w:sz="4" w:space="0" w:color="auto"/>
              <w:right w:val="single" w:sz="4" w:space="0" w:color="auto"/>
            </w:tcBorders>
          </w:tcPr>
          <w:p w:rsidR="00C3431C" w:rsidRPr="00C3431C" w:rsidRDefault="00C3431C" w:rsidP="00C3431C">
            <w:pPr>
              <w:jc w:val="center"/>
              <w:rPr>
                <w:rFonts w:ascii="Times New Roman" w:hAnsi="Times New Roman" w:cs="Times New Roman"/>
                <w:color w:val="000000"/>
                <w:sz w:val="16"/>
                <w:szCs w:val="16"/>
              </w:rPr>
            </w:pPr>
            <w:r w:rsidRPr="00C3431C">
              <w:rPr>
                <w:rFonts w:ascii="Times New Roman" w:hAnsi="Times New Roman" w:cs="Times New Roman"/>
                <w:color w:val="000000"/>
                <w:sz w:val="16"/>
                <w:szCs w:val="16"/>
              </w:rPr>
              <w:t>Для соединения с сосудистым доступом пациента</w:t>
            </w: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55"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67"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310"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c>
          <w:tcPr>
            <w:tcW w:w="253" w:type="pct"/>
            <w:vMerge/>
            <w:tcBorders>
              <w:left w:val="single" w:sz="4" w:space="0" w:color="auto"/>
              <w:right w:val="single" w:sz="4" w:space="0" w:color="auto"/>
            </w:tcBorders>
            <w:vAlign w:val="center"/>
          </w:tcPr>
          <w:p w:rsidR="00C3431C" w:rsidRPr="00C3431C" w:rsidRDefault="00C3431C" w:rsidP="008D22B2">
            <w:pPr>
              <w:spacing w:after="0" w:line="240" w:lineRule="auto"/>
              <w:rPr>
                <w:rFonts w:ascii="Times New Roman" w:eastAsia="Times New Roman" w:hAnsi="Times New Roman" w:cs="Times New Roman"/>
                <w:color w:val="000000"/>
                <w:sz w:val="16"/>
                <w:szCs w:val="16"/>
                <w:lang w:eastAsia="ru-RU"/>
              </w:rPr>
            </w:pPr>
          </w:p>
        </w:tc>
      </w:tr>
    </w:tbl>
    <w:p w:rsidR="00212C88" w:rsidRDefault="00212C88" w:rsidP="00C3431C">
      <w:pPr>
        <w:rPr>
          <w:rFonts w:ascii="Times New Roman" w:hAnsi="Times New Roman" w:cs="Times New Roman"/>
          <w:b/>
          <w:i/>
          <w:szCs w:val="20"/>
        </w:rPr>
      </w:pPr>
    </w:p>
    <w:p w:rsidR="00C3431C" w:rsidRPr="00212C88" w:rsidRDefault="00C3431C" w:rsidP="00C3431C">
      <w:pPr>
        <w:rPr>
          <w:rFonts w:ascii="Times New Roman" w:hAnsi="Times New Roman" w:cs="Times New Roman"/>
          <w:b/>
          <w:i/>
          <w:szCs w:val="20"/>
        </w:rPr>
      </w:pPr>
      <w:r w:rsidRPr="00212C88">
        <w:rPr>
          <w:rFonts w:ascii="Times New Roman" w:hAnsi="Times New Roman" w:cs="Times New Roman"/>
          <w:b/>
          <w:i/>
          <w:szCs w:val="20"/>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 (письмо Минфина России от 24 января 2022 г. N 24-03-08/4090)</w:t>
      </w:r>
    </w:p>
    <w:p w:rsidR="00170252" w:rsidRPr="00212C88" w:rsidRDefault="00170252" w:rsidP="000820E3">
      <w:pPr>
        <w:rPr>
          <w:rFonts w:ascii="Times New Roman" w:hAnsi="Times New Roman" w:cs="Times New Roman"/>
          <w:b/>
          <w:i/>
          <w:sz w:val="32"/>
          <w:szCs w:val="28"/>
        </w:rPr>
      </w:pPr>
    </w:p>
    <w:sectPr w:rsidR="00170252" w:rsidRPr="00212C88" w:rsidSect="00C3431C">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BB" w:rsidRDefault="000F00BB">
      <w:pPr>
        <w:spacing w:after="0" w:line="240" w:lineRule="auto"/>
      </w:pPr>
      <w:r>
        <w:separator/>
      </w:r>
    </w:p>
  </w:endnote>
  <w:endnote w:type="continuationSeparator" w:id="0">
    <w:p w:rsidR="000F00BB" w:rsidRDefault="000F0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614DA" w:rsidRDefault="00D614D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614D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614D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614D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614D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614D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12C88">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BB" w:rsidRDefault="000F00BB">
      <w:pPr>
        <w:spacing w:after="0" w:line="240" w:lineRule="auto"/>
      </w:pPr>
      <w:r>
        <w:separator/>
      </w:r>
    </w:p>
  </w:footnote>
  <w:footnote w:type="continuationSeparator" w:id="0">
    <w:p w:rsidR="000F00BB" w:rsidRDefault="000F00B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614DA" w:rsidRDefault="00D614D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614DA" w:rsidRDefault="00D614D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614DA" w:rsidRDefault="00D614D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00BB"/>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2C88"/>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431C"/>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614DA"/>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6B5B2-8722-4260-979A-A1CD088B8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1867</Words>
  <Characters>10647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2026-11-03T08:59:00Z</dcterms:created>
  <dcterms:modified xsi:type="dcterms:W3CDTF">2026-11-03T08:59:00Z</dcterms:modified>
</cp:coreProperties>
</file>