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30491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76B8D">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преимущества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C76B8D">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C76B8D">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951" w:type="dxa"/>
        <w:tblInd w:w="-10" w:type="dxa"/>
        <w:tblLayout w:type="fixed"/>
        <w:tblLook w:val="04A0" w:firstRow="1" w:lastRow="0" w:firstColumn="1" w:lastColumn="0" w:noHBand="0" w:noVBand="1"/>
      </w:tblPr>
      <w:tblGrid>
        <w:gridCol w:w="402"/>
        <w:gridCol w:w="1559"/>
        <w:gridCol w:w="1134"/>
        <w:gridCol w:w="2268"/>
        <w:gridCol w:w="1276"/>
        <w:gridCol w:w="992"/>
        <w:gridCol w:w="1701"/>
        <w:gridCol w:w="1559"/>
        <w:gridCol w:w="851"/>
        <w:gridCol w:w="1134"/>
        <w:gridCol w:w="992"/>
        <w:gridCol w:w="807"/>
        <w:gridCol w:w="567"/>
        <w:gridCol w:w="709"/>
      </w:tblGrid>
      <w:tr w:rsidR="00C76B8D" w:rsidRPr="00C76B8D" w:rsidTr="00C76B8D">
        <w:trPr>
          <w:trHeight w:val="300"/>
        </w:trPr>
        <w:tc>
          <w:tcPr>
            <w:tcW w:w="402" w:type="dxa"/>
            <w:vMerge w:val="restart"/>
            <w:tcBorders>
              <w:top w:val="single" w:sz="8" w:space="0" w:color="000000"/>
              <w:left w:val="single" w:sz="8" w:space="0" w:color="000000"/>
              <w:right w:val="single" w:sz="8" w:space="0" w:color="000000"/>
            </w:tcBorders>
          </w:tcPr>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 пп</w:t>
            </w:r>
          </w:p>
        </w:tc>
        <w:tc>
          <w:tcPr>
            <w:tcW w:w="1559" w:type="dxa"/>
            <w:vMerge w:val="restart"/>
            <w:tcBorders>
              <w:top w:val="single" w:sz="8" w:space="0" w:color="000000"/>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Наименование товара, работы, услуги</w:t>
            </w:r>
          </w:p>
        </w:tc>
        <w:tc>
          <w:tcPr>
            <w:tcW w:w="1134" w:type="dxa"/>
            <w:vMerge w:val="restart"/>
            <w:tcBorders>
              <w:top w:val="single" w:sz="8" w:space="0" w:color="000000"/>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Код позиции</w:t>
            </w:r>
          </w:p>
        </w:tc>
        <w:tc>
          <w:tcPr>
            <w:tcW w:w="7796" w:type="dxa"/>
            <w:gridSpan w:val="5"/>
            <w:tcBorders>
              <w:top w:val="single" w:sz="8" w:space="0" w:color="000000"/>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Характеристики товара, работы, услуги</w:t>
            </w:r>
          </w:p>
        </w:tc>
        <w:tc>
          <w:tcPr>
            <w:tcW w:w="851" w:type="dxa"/>
            <w:vMerge w:val="restart"/>
            <w:tcBorders>
              <w:top w:val="single" w:sz="8" w:space="0" w:color="000000"/>
              <w:left w:val="single" w:sz="8" w:space="0" w:color="000000"/>
              <w:bottom w:val="single" w:sz="8" w:space="0" w:color="000000"/>
              <w:right w:val="single" w:sz="8" w:space="0" w:color="000000"/>
            </w:tcBorders>
            <w:vAlign w:val="center"/>
            <w:hideMark/>
          </w:tcPr>
          <w:p w:rsid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p>
          <w:p w:rsid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p>
          <w:p w:rsid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p>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Количество(объем работы, услуги)</w:t>
            </w:r>
          </w:p>
        </w:tc>
        <w:tc>
          <w:tcPr>
            <w:tcW w:w="1134" w:type="dxa"/>
            <w:vMerge w:val="restart"/>
            <w:tcBorders>
              <w:top w:val="single" w:sz="8" w:space="0" w:color="000000"/>
              <w:left w:val="single" w:sz="8" w:space="0" w:color="000000"/>
              <w:bottom w:val="single" w:sz="8" w:space="0" w:color="000000"/>
              <w:right w:val="nil"/>
            </w:tcBorders>
            <w:vAlign w:val="center"/>
            <w:hideMark/>
          </w:tcPr>
          <w:p w:rsid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p>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Единица измерения</w:t>
            </w:r>
          </w:p>
        </w:tc>
        <w:tc>
          <w:tcPr>
            <w:tcW w:w="992" w:type="dxa"/>
            <w:vMerge w:val="restart"/>
            <w:tcBorders>
              <w:top w:val="single" w:sz="4" w:space="0" w:color="auto"/>
              <w:left w:val="single" w:sz="4" w:space="0" w:color="auto"/>
              <w:bottom w:val="single" w:sz="4" w:space="0" w:color="000000"/>
              <w:right w:val="single" w:sz="4" w:space="0" w:color="auto"/>
            </w:tcBorders>
            <w:noWrap/>
            <w:vAlign w:val="bottom"/>
            <w:hideMark/>
          </w:tcPr>
          <w:p w:rsid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r w:rsidRPr="00C76B8D">
              <w:rPr>
                <w:rFonts w:ascii="Times New Roman" w:eastAsia="Times New Roman" w:hAnsi="Times New Roman" w:cs="Times New Roman"/>
                <w:b/>
                <w:color w:val="000000"/>
                <w:sz w:val="14"/>
                <w:szCs w:val="14"/>
                <w:lang w:eastAsia="ru-RU"/>
              </w:rPr>
              <w:t>Страна происхождения</w:t>
            </w:r>
          </w:p>
          <w:p w:rsidR="00C76B8D" w:rsidRP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p>
          <w:p w:rsidR="00C76B8D" w:rsidRP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p>
        </w:tc>
        <w:tc>
          <w:tcPr>
            <w:tcW w:w="807" w:type="dxa"/>
            <w:vMerge w:val="restart"/>
            <w:tcBorders>
              <w:top w:val="single" w:sz="4" w:space="0" w:color="auto"/>
              <w:left w:val="single" w:sz="4" w:space="0" w:color="auto"/>
              <w:bottom w:val="single" w:sz="4" w:space="0" w:color="000000"/>
              <w:right w:val="single" w:sz="4" w:space="0" w:color="auto"/>
            </w:tcBorders>
            <w:noWrap/>
            <w:vAlign w:val="bottom"/>
            <w:hideMark/>
          </w:tcPr>
          <w:p w:rsid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r w:rsidRPr="00C76B8D">
              <w:rPr>
                <w:rFonts w:ascii="Times New Roman" w:eastAsia="Times New Roman" w:hAnsi="Times New Roman" w:cs="Times New Roman"/>
                <w:b/>
                <w:color w:val="000000"/>
                <w:sz w:val="14"/>
                <w:szCs w:val="14"/>
                <w:lang w:eastAsia="ru-RU"/>
              </w:rPr>
              <w:t>Ставка НДС%</w:t>
            </w:r>
          </w:p>
          <w:p w:rsid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p>
          <w:p w:rsidR="00C76B8D" w:rsidRP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p>
          <w:p w:rsidR="00C76B8D" w:rsidRP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p>
        </w:tc>
        <w:tc>
          <w:tcPr>
            <w:tcW w:w="567" w:type="dxa"/>
            <w:vMerge w:val="restart"/>
            <w:tcBorders>
              <w:top w:val="single" w:sz="4" w:space="0" w:color="auto"/>
              <w:left w:val="single" w:sz="4" w:space="0" w:color="auto"/>
              <w:bottom w:val="single" w:sz="4" w:space="0" w:color="000000"/>
              <w:right w:val="single" w:sz="4" w:space="0" w:color="auto"/>
            </w:tcBorders>
            <w:noWrap/>
            <w:vAlign w:val="bottom"/>
            <w:hideMark/>
          </w:tcPr>
          <w:p w:rsid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r w:rsidRPr="00C76B8D">
              <w:rPr>
                <w:rFonts w:ascii="Times New Roman" w:eastAsia="Times New Roman" w:hAnsi="Times New Roman" w:cs="Times New Roman"/>
                <w:b/>
                <w:color w:val="000000"/>
                <w:sz w:val="14"/>
                <w:szCs w:val="14"/>
                <w:lang w:eastAsia="ru-RU"/>
              </w:rPr>
              <w:t>Цена за ед. без НДС</w:t>
            </w:r>
          </w:p>
          <w:p w:rsidR="00C76B8D" w:rsidRP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p>
        </w:tc>
        <w:tc>
          <w:tcPr>
            <w:tcW w:w="709" w:type="dxa"/>
            <w:vMerge w:val="restart"/>
            <w:tcBorders>
              <w:top w:val="single" w:sz="4" w:space="0" w:color="auto"/>
              <w:left w:val="single" w:sz="4" w:space="0" w:color="auto"/>
              <w:bottom w:val="single" w:sz="4" w:space="0" w:color="000000"/>
              <w:right w:val="single" w:sz="4" w:space="0" w:color="auto"/>
            </w:tcBorders>
            <w:noWrap/>
            <w:vAlign w:val="bottom"/>
            <w:hideMark/>
          </w:tcPr>
          <w:p w:rsidR="00C76B8D" w:rsidRDefault="00C76B8D" w:rsidP="00E37F28">
            <w:pPr>
              <w:spacing w:after="0" w:line="240" w:lineRule="auto"/>
              <w:jc w:val="center"/>
              <w:rPr>
                <w:rFonts w:ascii="Times New Roman" w:eastAsia="Times New Roman" w:hAnsi="Times New Roman" w:cs="Times New Roman"/>
                <w:b/>
                <w:sz w:val="14"/>
                <w:szCs w:val="14"/>
                <w:lang w:eastAsia="ru-RU"/>
              </w:rPr>
            </w:pPr>
            <w:r w:rsidRPr="00C76B8D">
              <w:rPr>
                <w:rFonts w:ascii="Times New Roman" w:eastAsia="Times New Roman" w:hAnsi="Times New Roman" w:cs="Times New Roman"/>
                <w:b/>
                <w:sz w:val="14"/>
                <w:szCs w:val="14"/>
                <w:lang w:eastAsia="ru-RU"/>
              </w:rPr>
              <w:t>Сумма без НДС</w:t>
            </w:r>
          </w:p>
          <w:p w:rsidR="00C76B8D" w:rsidRPr="00C76B8D" w:rsidRDefault="00C76B8D" w:rsidP="00E37F28">
            <w:pPr>
              <w:spacing w:after="0" w:line="240" w:lineRule="auto"/>
              <w:jc w:val="center"/>
              <w:rPr>
                <w:rFonts w:ascii="Times New Roman" w:eastAsia="Times New Roman" w:hAnsi="Times New Roman" w:cs="Times New Roman"/>
                <w:b/>
                <w:sz w:val="14"/>
                <w:szCs w:val="14"/>
                <w:lang w:eastAsia="ru-RU"/>
              </w:rPr>
            </w:pPr>
          </w:p>
          <w:p w:rsidR="00C76B8D" w:rsidRPr="00C76B8D" w:rsidRDefault="00C76B8D" w:rsidP="00E37F28">
            <w:pPr>
              <w:spacing w:after="0" w:line="240" w:lineRule="auto"/>
              <w:jc w:val="center"/>
              <w:rPr>
                <w:rFonts w:ascii="Times New Roman" w:eastAsia="Times New Roman" w:hAnsi="Times New Roman" w:cs="Times New Roman"/>
                <w:b/>
                <w:color w:val="000000"/>
                <w:sz w:val="14"/>
                <w:szCs w:val="14"/>
                <w:lang w:eastAsia="ru-RU"/>
              </w:rPr>
            </w:pPr>
          </w:p>
        </w:tc>
      </w:tr>
      <w:tr w:rsidR="00C76B8D" w:rsidRPr="00C76B8D" w:rsidTr="00C76B8D">
        <w:trPr>
          <w:trHeight w:val="300"/>
        </w:trPr>
        <w:tc>
          <w:tcPr>
            <w:tcW w:w="402" w:type="dxa"/>
            <w:vMerge/>
            <w:tcBorders>
              <w:left w:val="single" w:sz="8" w:space="0" w:color="000000"/>
              <w:bottom w:val="single" w:sz="8" w:space="0" w:color="000000"/>
              <w:right w:val="single" w:sz="8" w:space="0" w:color="000000"/>
            </w:tcBorders>
          </w:tcPr>
          <w:p w:rsidR="00C76B8D" w:rsidRPr="00C76B8D" w:rsidRDefault="00C76B8D" w:rsidP="00E37F28">
            <w:pPr>
              <w:spacing w:after="0" w:line="240" w:lineRule="auto"/>
              <w:rPr>
                <w:rFonts w:ascii="Times New Roman" w:eastAsia="Times New Roman" w:hAnsi="Times New Roman" w:cs="Times New Roman"/>
                <w:b/>
                <w:bCs/>
                <w:color w:val="000000"/>
                <w:sz w:val="14"/>
                <w:szCs w:val="14"/>
                <w:lang w:eastAsia="ru-RU"/>
              </w:rPr>
            </w:pPr>
          </w:p>
        </w:tc>
        <w:tc>
          <w:tcPr>
            <w:tcW w:w="1559" w:type="dxa"/>
            <w:vMerge/>
            <w:tcBorders>
              <w:top w:val="single" w:sz="8" w:space="0" w:color="000000"/>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b/>
                <w:bCs/>
                <w:color w:val="000000"/>
                <w:sz w:val="14"/>
                <w:szCs w:val="14"/>
                <w:lang w:eastAsia="ru-RU"/>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b/>
                <w:bCs/>
                <w:color w:val="000000"/>
                <w:sz w:val="14"/>
                <w:szCs w:val="14"/>
                <w:lang w:eastAsia="ru-RU"/>
              </w:rPr>
            </w:pPr>
          </w:p>
        </w:tc>
        <w:tc>
          <w:tcPr>
            <w:tcW w:w="2268"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Наименование характеристики</w:t>
            </w:r>
          </w:p>
        </w:tc>
        <w:tc>
          <w:tcPr>
            <w:tcW w:w="1276"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Значение характеристики</w:t>
            </w:r>
          </w:p>
        </w:tc>
        <w:tc>
          <w:tcPr>
            <w:tcW w:w="992"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Единица измерения характеристики</w:t>
            </w:r>
          </w:p>
        </w:tc>
        <w:tc>
          <w:tcPr>
            <w:tcW w:w="1701"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Инструкция по заполнению характеристик в заявке</w:t>
            </w:r>
          </w:p>
        </w:tc>
        <w:tc>
          <w:tcPr>
            <w:tcW w:w="1559" w:type="dxa"/>
            <w:tcBorders>
              <w:top w:val="single" w:sz="8" w:space="0" w:color="000000"/>
              <w:left w:val="single" w:sz="8" w:space="0" w:color="000000"/>
              <w:bottom w:val="single" w:sz="8" w:space="0" w:color="000000"/>
              <w:right w:val="single" w:sz="8" w:space="0" w:color="000000"/>
            </w:tcBorders>
          </w:tcPr>
          <w:p w:rsidR="00C76B8D" w:rsidRDefault="00C76B8D" w:rsidP="00C76B8D">
            <w:pPr>
              <w:spacing w:after="0" w:line="240" w:lineRule="auto"/>
              <w:jc w:val="center"/>
              <w:rPr>
                <w:rFonts w:ascii="Times New Roman" w:eastAsia="Times New Roman" w:hAnsi="Times New Roman" w:cs="Times New Roman"/>
                <w:b/>
                <w:bCs/>
                <w:color w:val="000000"/>
                <w:sz w:val="14"/>
                <w:szCs w:val="14"/>
                <w:lang w:eastAsia="ru-RU"/>
              </w:rPr>
            </w:pPr>
          </w:p>
          <w:p w:rsidR="00C76B8D" w:rsidRDefault="00C76B8D" w:rsidP="00C76B8D">
            <w:pPr>
              <w:spacing w:after="0" w:line="240" w:lineRule="auto"/>
              <w:jc w:val="center"/>
              <w:rPr>
                <w:rFonts w:ascii="Times New Roman" w:eastAsia="Times New Roman" w:hAnsi="Times New Roman" w:cs="Times New Roman"/>
                <w:b/>
                <w:bCs/>
                <w:color w:val="000000"/>
                <w:sz w:val="14"/>
                <w:szCs w:val="14"/>
                <w:lang w:eastAsia="ru-RU"/>
              </w:rPr>
            </w:pPr>
          </w:p>
          <w:p w:rsidR="00C76B8D" w:rsidRPr="00C76B8D" w:rsidRDefault="00C76B8D" w:rsidP="00C76B8D">
            <w:pPr>
              <w:spacing w:after="0" w:line="240" w:lineRule="auto"/>
              <w:jc w:val="center"/>
              <w:rPr>
                <w:rFonts w:ascii="Times New Roman" w:eastAsia="Times New Roman" w:hAnsi="Times New Roman" w:cs="Times New Roman"/>
                <w:b/>
                <w:bCs/>
                <w:color w:val="000000"/>
                <w:sz w:val="14"/>
                <w:szCs w:val="14"/>
                <w:lang w:eastAsia="ru-RU"/>
              </w:rPr>
            </w:pPr>
            <w:r w:rsidRPr="00C76B8D">
              <w:rPr>
                <w:rFonts w:ascii="Times New Roman" w:eastAsia="Times New Roman" w:hAnsi="Times New Roman" w:cs="Times New Roman"/>
                <w:b/>
                <w:bCs/>
                <w:color w:val="000000"/>
                <w:sz w:val="14"/>
                <w:szCs w:val="14"/>
                <w:lang w:eastAsia="ru-RU"/>
              </w:rPr>
              <w:t>Обоснование характеристик</w:t>
            </w:r>
          </w:p>
        </w:tc>
        <w:tc>
          <w:tcPr>
            <w:tcW w:w="851" w:type="dxa"/>
            <w:vMerge/>
            <w:tcBorders>
              <w:top w:val="single" w:sz="8" w:space="0" w:color="000000"/>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b/>
                <w:bCs/>
                <w:color w:val="000000"/>
                <w:sz w:val="14"/>
                <w:szCs w:val="14"/>
                <w:lang w:eastAsia="ru-RU"/>
              </w:rPr>
            </w:pPr>
          </w:p>
        </w:tc>
        <w:tc>
          <w:tcPr>
            <w:tcW w:w="1134" w:type="dxa"/>
            <w:vMerge/>
            <w:tcBorders>
              <w:top w:val="single" w:sz="8" w:space="0" w:color="000000"/>
              <w:left w:val="single" w:sz="8" w:space="0" w:color="000000"/>
              <w:bottom w:val="single" w:sz="8" w:space="0" w:color="000000"/>
              <w:right w:val="nil"/>
            </w:tcBorders>
            <w:vAlign w:val="center"/>
            <w:hideMark/>
          </w:tcPr>
          <w:p w:rsidR="00C76B8D" w:rsidRPr="00C76B8D" w:rsidRDefault="00C76B8D" w:rsidP="00E37F28">
            <w:pPr>
              <w:spacing w:after="0" w:line="240" w:lineRule="auto"/>
              <w:rPr>
                <w:rFonts w:ascii="Times New Roman" w:eastAsia="Times New Roman" w:hAnsi="Times New Roman" w:cs="Times New Roman"/>
                <w:b/>
                <w:bCs/>
                <w:color w:val="000000"/>
                <w:sz w:val="14"/>
                <w:szCs w:val="14"/>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single" w:sz="4" w:space="0" w:color="auto"/>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vMerge w:val="restart"/>
            <w:tcBorders>
              <w:top w:val="nil"/>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hAnsi="Times New Roman" w:cs="Times New Roman"/>
                <w:sz w:val="14"/>
                <w:szCs w:val="14"/>
                <w:shd w:val="clear" w:color="auto" w:fill="FFFFFF"/>
              </w:rPr>
            </w:pPr>
            <w:r w:rsidRPr="00C76B8D">
              <w:rPr>
                <w:rFonts w:ascii="Times New Roman" w:hAnsi="Times New Roman" w:cs="Times New Roman"/>
                <w:sz w:val="14"/>
                <w:szCs w:val="14"/>
                <w:shd w:val="clear" w:color="auto" w:fill="FFFFFF"/>
              </w:rPr>
              <w:t>1</w:t>
            </w:r>
          </w:p>
        </w:tc>
        <w:tc>
          <w:tcPr>
            <w:tcW w:w="1559" w:type="dxa"/>
            <w:vMerge w:val="restart"/>
            <w:tcBorders>
              <w:top w:val="nil"/>
              <w:left w:val="single" w:sz="8" w:space="0" w:color="000000"/>
              <w:bottom w:val="single" w:sz="8" w:space="0" w:color="000000"/>
              <w:right w:val="single" w:sz="8" w:space="0" w:color="000000"/>
            </w:tcBorders>
            <w:vAlign w:val="center"/>
            <w:hideMark/>
          </w:tcPr>
          <w:p w:rsidR="00C76B8D" w:rsidRDefault="00C76B8D" w:rsidP="00E37F28">
            <w:pPr>
              <w:spacing w:after="0" w:line="240" w:lineRule="auto"/>
              <w:jc w:val="center"/>
              <w:rPr>
                <w:rFonts w:ascii="Times New Roman" w:hAnsi="Times New Roman" w:cs="Times New Roman"/>
                <w:sz w:val="14"/>
                <w:szCs w:val="14"/>
                <w:shd w:val="clear" w:color="auto" w:fill="FFFFFF"/>
              </w:rPr>
            </w:pPr>
            <w:r w:rsidRPr="00C76B8D">
              <w:rPr>
                <w:rFonts w:ascii="Times New Roman" w:hAnsi="Times New Roman" w:cs="Times New Roman"/>
                <w:sz w:val="14"/>
                <w:szCs w:val="14"/>
                <w:shd w:val="clear" w:color="auto" w:fill="FFFFFF"/>
              </w:rPr>
              <w:t>Набор для общехирургических/</w:t>
            </w:r>
          </w:p>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r w:rsidRPr="00C76B8D">
              <w:rPr>
                <w:rFonts w:ascii="Times New Roman" w:hAnsi="Times New Roman" w:cs="Times New Roman"/>
                <w:sz w:val="14"/>
                <w:szCs w:val="14"/>
                <w:shd w:val="clear" w:color="auto" w:fill="FFFFFF"/>
              </w:rPr>
              <w:t>пластических процедур, не содержащий лекарственные средства, одноразового использования</w:t>
            </w:r>
          </w:p>
        </w:tc>
        <w:tc>
          <w:tcPr>
            <w:tcW w:w="1134" w:type="dxa"/>
            <w:vMerge w:val="restart"/>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Calibri" w:hAnsi="Times New Roman" w:cs="Times New Roman"/>
                <w:sz w:val="14"/>
                <w:szCs w:val="14"/>
              </w:rPr>
            </w:pPr>
          </w:p>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r w:rsidRPr="00C76B8D">
              <w:rPr>
                <w:rFonts w:ascii="Times New Roman" w:eastAsia="Calibri" w:hAnsi="Times New Roman" w:cs="Times New Roman"/>
                <w:sz w:val="14"/>
                <w:szCs w:val="14"/>
              </w:rPr>
              <w:t>32.50.50.190-00001259</w:t>
            </w:r>
            <w:r>
              <w:rPr>
                <w:rFonts w:ascii="Times New Roman" w:eastAsia="Calibri" w:hAnsi="Times New Roman" w:cs="Times New Roman"/>
                <w:sz w:val="14"/>
                <w:szCs w:val="14"/>
              </w:rPr>
              <w:t>*</w:t>
            </w:r>
          </w:p>
        </w:tc>
        <w:tc>
          <w:tcPr>
            <w:tcW w:w="6237" w:type="dxa"/>
            <w:gridSpan w:val="4"/>
            <w:tcBorders>
              <w:top w:val="single" w:sz="8" w:space="0" w:color="000000"/>
              <w:left w:val="nil"/>
              <w:bottom w:val="nil"/>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1559" w:type="dxa"/>
            <w:vMerge w:val="restart"/>
            <w:tcBorders>
              <w:top w:val="nil"/>
              <w:left w:val="single" w:sz="8" w:space="0" w:color="000000"/>
              <w:right w:val="single" w:sz="8" w:space="0" w:color="000000"/>
            </w:tcBorders>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hAnsi="Times New Roman" w:cs="Times New Roman"/>
                <w:color w:val="000000"/>
                <w:sz w:val="14"/>
                <w:szCs w:val="14"/>
              </w:rPr>
              <w:t>Необходимый показатель комплектности набора</w:t>
            </w:r>
          </w:p>
        </w:tc>
        <w:tc>
          <w:tcPr>
            <w:tcW w:w="851" w:type="dxa"/>
            <w:vMerge w:val="restart"/>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270</w:t>
            </w:r>
          </w:p>
        </w:tc>
        <w:tc>
          <w:tcPr>
            <w:tcW w:w="1134" w:type="dxa"/>
            <w:vMerge w:val="restart"/>
            <w:tcBorders>
              <w:top w:val="nil"/>
              <w:left w:val="single" w:sz="8" w:space="0" w:color="000000"/>
              <w:bottom w:val="single" w:sz="8" w:space="0" w:color="000000"/>
              <w:right w:val="nil"/>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штука</w:t>
            </w:r>
          </w:p>
        </w:tc>
        <w:tc>
          <w:tcPr>
            <w:tcW w:w="992" w:type="dxa"/>
            <w:vMerge w:val="restart"/>
            <w:tcBorders>
              <w:top w:val="nil"/>
              <w:left w:val="single" w:sz="4" w:space="0" w:color="auto"/>
              <w:bottom w:val="single" w:sz="4" w:space="0" w:color="000000"/>
              <w:right w:val="single" w:sz="4" w:space="0" w:color="auto"/>
            </w:tcBorders>
            <w:noWrap/>
            <w:vAlign w:val="bottom"/>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 </w:t>
            </w:r>
          </w:p>
        </w:tc>
        <w:tc>
          <w:tcPr>
            <w:tcW w:w="807" w:type="dxa"/>
            <w:vMerge w:val="restart"/>
            <w:tcBorders>
              <w:top w:val="nil"/>
              <w:left w:val="single" w:sz="4" w:space="0" w:color="auto"/>
              <w:bottom w:val="single" w:sz="4" w:space="0" w:color="000000"/>
              <w:right w:val="single" w:sz="4" w:space="0" w:color="auto"/>
            </w:tcBorders>
            <w:noWrap/>
            <w:vAlign w:val="bottom"/>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 </w:t>
            </w:r>
          </w:p>
        </w:tc>
        <w:tc>
          <w:tcPr>
            <w:tcW w:w="567" w:type="dxa"/>
            <w:vMerge w:val="restart"/>
            <w:tcBorders>
              <w:top w:val="nil"/>
              <w:left w:val="single" w:sz="4" w:space="0" w:color="auto"/>
              <w:bottom w:val="single" w:sz="4" w:space="0" w:color="000000"/>
              <w:right w:val="single" w:sz="4" w:space="0" w:color="auto"/>
            </w:tcBorders>
            <w:noWrap/>
            <w:vAlign w:val="bottom"/>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 </w:t>
            </w:r>
          </w:p>
        </w:tc>
        <w:tc>
          <w:tcPr>
            <w:tcW w:w="709" w:type="dxa"/>
            <w:vMerge w:val="restart"/>
            <w:tcBorders>
              <w:top w:val="nil"/>
              <w:left w:val="single" w:sz="4" w:space="0" w:color="auto"/>
              <w:bottom w:val="single" w:sz="4" w:space="0" w:color="000000"/>
              <w:right w:val="single" w:sz="4" w:space="0" w:color="auto"/>
            </w:tcBorders>
            <w:noWrap/>
            <w:vAlign w:val="bottom"/>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 </w:t>
            </w:r>
          </w:p>
        </w:tc>
      </w:tr>
      <w:tr w:rsidR="00C76B8D" w:rsidRPr="00C76B8D" w:rsidTr="00C76B8D">
        <w:trPr>
          <w:trHeight w:val="300"/>
        </w:trPr>
        <w:tc>
          <w:tcPr>
            <w:tcW w:w="402" w:type="dxa"/>
            <w:vMerge/>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p>
        </w:tc>
        <w:tc>
          <w:tcPr>
            <w:tcW w:w="1559"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1134"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2268" w:type="dxa"/>
            <w:tcBorders>
              <w:top w:val="nil"/>
              <w:left w:val="nil"/>
              <w:bottom w:val="single" w:sz="8" w:space="0" w:color="000000"/>
              <w:right w:val="single" w:sz="8" w:space="0" w:color="000000"/>
            </w:tcBorders>
            <w:hideMark/>
          </w:tcPr>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Состав:</w:t>
            </w:r>
          </w:p>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 xml:space="preserve">1.Салфетка марлевая </w:t>
            </w:r>
          </w:p>
          <w:p w:rsid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 xml:space="preserve">2.Тампон марлевый круглый </w:t>
            </w:r>
          </w:p>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3.</w:t>
            </w:r>
            <w:r>
              <w:rPr>
                <w:rFonts w:ascii="Times New Roman" w:hAnsi="Times New Roman" w:cs="Times New Roman"/>
                <w:sz w:val="14"/>
                <w:szCs w:val="14"/>
              </w:rPr>
              <w:t xml:space="preserve"> </w:t>
            </w:r>
            <w:r w:rsidRPr="00C76B8D">
              <w:rPr>
                <w:rFonts w:ascii="Times New Roman" w:hAnsi="Times New Roman" w:cs="Times New Roman"/>
                <w:sz w:val="14"/>
                <w:szCs w:val="14"/>
              </w:rPr>
              <w:t xml:space="preserve">Покрытие с апертурой и адгезивным слоем </w:t>
            </w:r>
          </w:p>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 xml:space="preserve">4.Покрытие стола двухслойное </w:t>
            </w:r>
          </w:p>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 xml:space="preserve">5.Пинцет пластиковый перевязочный </w:t>
            </w:r>
          </w:p>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6.Зажим пластиковый.</w:t>
            </w:r>
          </w:p>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7.Иглодержатель стальной.</w:t>
            </w:r>
          </w:p>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8.Пластырная повязка для фиксации</w:t>
            </w:r>
          </w:p>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 xml:space="preserve">катетера </w:t>
            </w:r>
          </w:p>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9.Скальпель с пластиковой ручкой</w:t>
            </w:r>
          </w:p>
          <w:p w:rsidR="00C76B8D" w:rsidRPr="00C76B8D" w:rsidRDefault="00C76B8D" w:rsidP="00E37F28">
            <w:pPr>
              <w:autoSpaceDE w:val="0"/>
              <w:autoSpaceDN w:val="0"/>
              <w:adjustRightInd w:val="0"/>
              <w:spacing w:after="0" w:line="240" w:lineRule="auto"/>
              <w:rPr>
                <w:rFonts w:ascii="Times New Roman" w:eastAsia="Times New Roman" w:hAnsi="Times New Roman" w:cs="Times New Roman"/>
                <w:sz w:val="14"/>
                <w:szCs w:val="14"/>
                <w:lang w:eastAsia="ru-RU"/>
              </w:rPr>
            </w:pPr>
            <w:r w:rsidRPr="00C76B8D">
              <w:rPr>
                <w:rFonts w:ascii="Times New Roman" w:hAnsi="Times New Roman" w:cs="Times New Roman"/>
                <w:sz w:val="14"/>
                <w:szCs w:val="14"/>
              </w:rPr>
              <w:t xml:space="preserve">10.Ёмкость пластиковая градуированная </w:t>
            </w:r>
          </w:p>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1276"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r w:rsidRPr="00C76B8D">
              <w:rPr>
                <w:rFonts w:ascii="Times New Roman" w:eastAsia="Times New Roman" w:hAnsi="Times New Roman" w:cs="Times New Roman"/>
                <w:sz w:val="14"/>
                <w:szCs w:val="14"/>
                <w:lang w:eastAsia="ru-RU"/>
              </w:rPr>
              <w:t>Соответствие</w:t>
            </w:r>
          </w:p>
        </w:tc>
        <w:tc>
          <w:tcPr>
            <w:tcW w:w="992"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701"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559" w:type="dxa"/>
            <w:vMerge/>
            <w:tcBorders>
              <w:left w:val="single" w:sz="8" w:space="0" w:color="000000"/>
              <w:bottom w:val="single" w:sz="8" w:space="0" w:color="000000"/>
              <w:right w:val="single" w:sz="8" w:space="0" w:color="000000"/>
            </w:tcBorders>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51"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nil"/>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vMerge/>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p>
        </w:tc>
        <w:tc>
          <w:tcPr>
            <w:tcW w:w="1559" w:type="dxa"/>
            <w:vMerge/>
            <w:tcBorders>
              <w:top w:val="nil"/>
              <w:left w:val="single" w:sz="8" w:space="0" w:color="000000"/>
              <w:bottom w:val="single" w:sz="8" w:space="0" w:color="000000"/>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1134" w:type="dxa"/>
            <w:vMerge/>
            <w:tcBorders>
              <w:top w:val="nil"/>
              <w:left w:val="single" w:sz="8" w:space="0" w:color="000000"/>
              <w:bottom w:val="single" w:sz="8" w:space="0" w:color="000000"/>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7796" w:type="dxa"/>
            <w:gridSpan w:val="5"/>
            <w:tcBorders>
              <w:top w:val="nil"/>
              <w:left w:val="nil"/>
              <w:bottom w:val="single" w:sz="8" w:space="0" w:color="000000"/>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1.Салфетка марлевая</w:t>
            </w:r>
          </w:p>
        </w:tc>
        <w:tc>
          <w:tcPr>
            <w:tcW w:w="851" w:type="dxa"/>
            <w:vMerge/>
            <w:tcBorders>
              <w:top w:val="nil"/>
              <w:left w:val="single" w:sz="8" w:space="0" w:color="000000"/>
              <w:bottom w:val="single" w:sz="8" w:space="0" w:color="000000"/>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auto"/>
              <w:bottom w:val="single" w:sz="4" w:space="0" w:color="000000"/>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nil"/>
              <w:left w:val="single" w:sz="4" w:space="0" w:color="auto"/>
              <w:bottom w:val="single" w:sz="4" w:space="0" w:color="000000"/>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nil"/>
              <w:left w:val="single" w:sz="4" w:space="0" w:color="auto"/>
              <w:bottom w:val="single" w:sz="4" w:space="0" w:color="000000"/>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auto"/>
              <w:bottom w:val="single" w:sz="4" w:space="0" w:color="000000"/>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vMerge/>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p>
        </w:tc>
        <w:tc>
          <w:tcPr>
            <w:tcW w:w="1559"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1134"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2268"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r w:rsidRPr="00C76B8D">
              <w:rPr>
                <w:rFonts w:ascii="Times New Roman" w:eastAsia="Times New Roman" w:hAnsi="Times New Roman" w:cs="Times New Roman"/>
                <w:sz w:val="14"/>
                <w:szCs w:val="14"/>
                <w:lang w:eastAsia="ru-RU"/>
              </w:rPr>
              <w:t>Количество салфеток в наборе</w:t>
            </w:r>
          </w:p>
        </w:tc>
        <w:tc>
          <w:tcPr>
            <w:tcW w:w="1276"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r w:rsidRPr="00C76B8D">
              <w:rPr>
                <w:rFonts w:ascii="Times New Roman" w:eastAsia="Times New Roman" w:hAnsi="Times New Roman" w:cs="Times New Roman"/>
                <w:sz w:val="14"/>
                <w:szCs w:val="14"/>
                <w:lang w:eastAsia="ru-RU"/>
              </w:rPr>
              <w:t>≥5</w:t>
            </w:r>
          </w:p>
        </w:tc>
        <w:tc>
          <w:tcPr>
            <w:tcW w:w="992"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штук</w:t>
            </w:r>
          </w:p>
        </w:tc>
        <w:tc>
          <w:tcPr>
            <w:tcW w:w="1701" w:type="dxa"/>
            <w:tcBorders>
              <w:top w:val="nil"/>
              <w:left w:val="nil"/>
              <w:bottom w:val="single" w:sz="8" w:space="0" w:color="000000"/>
              <w:right w:val="single" w:sz="8" w:space="0" w:color="000000"/>
            </w:tcBorders>
            <w:vAlign w:val="center"/>
            <w:hideMark/>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Участник закупки указывает конкретное значение характеристики</w:t>
            </w:r>
          </w:p>
        </w:tc>
        <w:tc>
          <w:tcPr>
            <w:tcW w:w="1559" w:type="dxa"/>
            <w:tcBorders>
              <w:top w:val="nil"/>
              <w:left w:val="single" w:sz="8" w:space="0" w:color="000000"/>
              <w:bottom w:val="single" w:sz="8" w:space="0" w:color="000000"/>
              <w:right w:val="single" w:sz="8" w:space="0" w:color="000000"/>
            </w:tcBorders>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Необходимый показатель комплектности расходного материала</w:t>
            </w:r>
          </w:p>
        </w:tc>
        <w:tc>
          <w:tcPr>
            <w:tcW w:w="851"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nil"/>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vMerge/>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p>
        </w:tc>
        <w:tc>
          <w:tcPr>
            <w:tcW w:w="1559"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1134"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2268" w:type="dxa"/>
            <w:tcBorders>
              <w:top w:val="nil"/>
              <w:left w:val="nil"/>
              <w:bottom w:val="single" w:sz="8" w:space="0" w:color="000000"/>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r w:rsidRPr="00C76B8D">
              <w:rPr>
                <w:rFonts w:ascii="Times New Roman" w:eastAsia="Times New Roman" w:hAnsi="Times New Roman" w:cs="Times New Roman"/>
                <w:sz w:val="14"/>
                <w:szCs w:val="14"/>
                <w:lang w:eastAsia="ru-RU"/>
              </w:rPr>
              <w:t xml:space="preserve">Длина  салфетки </w:t>
            </w:r>
          </w:p>
        </w:tc>
        <w:tc>
          <w:tcPr>
            <w:tcW w:w="1276" w:type="dxa"/>
            <w:tcBorders>
              <w:top w:val="nil"/>
              <w:left w:val="nil"/>
              <w:bottom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r w:rsidRPr="00C76B8D">
              <w:rPr>
                <w:rFonts w:ascii="Times New Roman" w:eastAsia="Times New Roman" w:hAnsi="Times New Roman" w:cs="Times New Roman"/>
                <w:sz w:val="14"/>
                <w:szCs w:val="14"/>
                <w:lang w:eastAsia="ru-RU"/>
              </w:rPr>
              <w:t>≥ 7 и ≤ 8</w:t>
            </w:r>
          </w:p>
        </w:tc>
        <w:tc>
          <w:tcPr>
            <w:tcW w:w="992" w:type="dxa"/>
            <w:tcBorders>
              <w:top w:val="nil"/>
              <w:left w:val="nil"/>
              <w:bottom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см</w:t>
            </w:r>
          </w:p>
        </w:tc>
        <w:tc>
          <w:tcPr>
            <w:tcW w:w="1701" w:type="dxa"/>
            <w:tcBorders>
              <w:top w:val="nil"/>
              <w:left w:val="nil"/>
              <w:bottom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Участник закупки указывает конкретное значение характеристики</w:t>
            </w:r>
          </w:p>
        </w:tc>
        <w:tc>
          <w:tcPr>
            <w:tcW w:w="1559" w:type="dxa"/>
            <w:vMerge w:val="restart"/>
            <w:tcBorders>
              <w:top w:val="nil"/>
              <w:left w:val="single" w:sz="8" w:space="0" w:color="000000"/>
              <w:right w:val="single" w:sz="8" w:space="0" w:color="000000"/>
            </w:tcBorders>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Оптимальный размер для удобства использования</w:t>
            </w:r>
          </w:p>
        </w:tc>
        <w:tc>
          <w:tcPr>
            <w:tcW w:w="851"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nil"/>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vMerge/>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8" w:space="0" w:color="000000"/>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 xml:space="preserve">Ширина салфетки </w:t>
            </w:r>
          </w:p>
        </w:tc>
        <w:tc>
          <w:tcPr>
            <w:tcW w:w="1276" w:type="dxa"/>
            <w:tcBorders>
              <w:top w:val="nil"/>
              <w:left w:val="nil"/>
              <w:bottom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sz w:val="14"/>
                <w:szCs w:val="14"/>
                <w:lang w:eastAsia="ru-RU"/>
              </w:rPr>
            </w:pPr>
            <w:r w:rsidRPr="00C76B8D">
              <w:rPr>
                <w:rFonts w:ascii="Times New Roman" w:eastAsia="Times New Roman" w:hAnsi="Times New Roman" w:cs="Times New Roman"/>
                <w:sz w:val="14"/>
                <w:szCs w:val="14"/>
                <w:lang w:eastAsia="ru-RU"/>
              </w:rPr>
              <w:t>≥ 7 и ≤ 8</w:t>
            </w:r>
          </w:p>
        </w:tc>
        <w:tc>
          <w:tcPr>
            <w:tcW w:w="992" w:type="dxa"/>
            <w:tcBorders>
              <w:top w:val="nil"/>
              <w:left w:val="nil"/>
              <w:bottom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см</w:t>
            </w:r>
          </w:p>
        </w:tc>
        <w:tc>
          <w:tcPr>
            <w:tcW w:w="1701" w:type="dxa"/>
            <w:tcBorders>
              <w:top w:val="nil"/>
              <w:left w:val="nil"/>
              <w:bottom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Участник закупки указывает конкретное значение характеристики</w:t>
            </w:r>
          </w:p>
        </w:tc>
        <w:tc>
          <w:tcPr>
            <w:tcW w:w="1559" w:type="dxa"/>
            <w:vMerge/>
            <w:tcBorders>
              <w:left w:val="single" w:sz="8" w:space="0" w:color="000000"/>
              <w:bottom w:val="single" w:sz="8" w:space="0" w:color="000000"/>
              <w:right w:val="single" w:sz="8" w:space="0" w:color="000000"/>
            </w:tcBorders>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51"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nil"/>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vMerge/>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8" w:space="0" w:color="000000"/>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Количество слоев в сложенном виде </w:t>
            </w:r>
          </w:p>
        </w:tc>
        <w:tc>
          <w:tcPr>
            <w:tcW w:w="1276" w:type="dxa"/>
            <w:tcBorders>
              <w:top w:val="nil"/>
              <w:left w:val="nil"/>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eastAsia="Times New Roman" w:hAnsi="Times New Roman" w:cs="Times New Roman"/>
                <w:sz w:val="14"/>
                <w:szCs w:val="14"/>
                <w:lang w:eastAsia="ru-RU"/>
              </w:rPr>
              <w:t>≥ 8</w:t>
            </w:r>
          </w:p>
        </w:tc>
        <w:tc>
          <w:tcPr>
            <w:tcW w:w="992" w:type="dxa"/>
            <w:tcBorders>
              <w:top w:val="nil"/>
              <w:left w:val="nil"/>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nil"/>
              <w:left w:val="nil"/>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eastAsia="Times New Roman" w:hAnsi="Times New Roman" w:cs="Times New Roman"/>
                <w:color w:val="000000"/>
                <w:sz w:val="14"/>
                <w:szCs w:val="14"/>
                <w:lang w:eastAsia="ru-RU"/>
              </w:rPr>
              <w:t>Участник закупки указывает конкретное значение характеристики</w:t>
            </w:r>
          </w:p>
        </w:tc>
        <w:tc>
          <w:tcPr>
            <w:tcW w:w="1559" w:type="dxa"/>
            <w:tcBorders>
              <w:top w:val="nil"/>
              <w:left w:val="single" w:sz="8" w:space="0" w:color="000000"/>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Обеспечивает впитываемость салфетки, как перевязочного средства во время проведения процедуры</w:t>
            </w:r>
          </w:p>
        </w:tc>
        <w:tc>
          <w:tcPr>
            <w:tcW w:w="851"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nil"/>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vMerge/>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8" w:space="0" w:color="000000"/>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Изготовлен из марли (100% хлопок) </w:t>
            </w:r>
          </w:p>
        </w:tc>
        <w:tc>
          <w:tcPr>
            <w:tcW w:w="1276" w:type="dxa"/>
            <w:tcBorders>
              <w:top w:val="nil"/>
              <w:left w:val="nil"/>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nil"/>
              <w:left w:val="nil"/>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nil"/>
              <w:left w:val="nil"/>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nil"/>
              <w:left w:val="single" w:sz="8" w:space="0" w:color="000000"/>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Обеспечивает высокую впитываемость салфеток</w:t>
            </w:r>
          </w:p>
        </w:tc>
        <w:tc>
          <w:tcPr>
            <w:tcW w:w="851"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nil"/>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vMerge/>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Поверхностная  плотность марли</w:t>
            </w:r>
          </w:p>
        </w:tc>
        <w:tc>
          <w:tcPr>
            <w:tcW w:w="1276" w:type="dxa"/>
            <w:tcBorders>
              <w:top w:val="nil"/>
              <w:left w:val="nil"/>
              <w:bottom w:val="single" w:sz="8" w:space="0" w:color="000000"/>
              <w:right w:val="single" w:sz="8" w:space="0" w:color="000000"/>
            </w:tcBorders>
          </w:tcPr>
          <w:p w:rsidR="00C76B8D" w:rsidRPr="00C76B8D" w:rsidRDefault="00C76B8D" w:rsidP="00E37F28">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 21 и    ≤ 25              </w:t>
            </w:r>
          </w:p>
        </w:tc>
        <w:tc>
          <w:tcPr>
            <w:tcW w:w="992" w:type="dxa"/>
            <w:tcBorders>
              <w:top w:val="nil"/>
              <w:left w:val="nil"/>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г/м2</w:t>
            </w:r>
          </w:p>
        </w:tc>
        <w:tc>
          <w:tcPr>
            <w:tcW w:w="1701" w:type="dxa"/>
            <w:tcBorders>
              <w:top w:val="nil"/>
              <w:left w:val="nil"/>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nil"/>
              <w:left w:val="single" w:sz="8" w:space="0" w:color="000000"/>
              <w:bottom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позволяет обеспечить качественную обработку раневой поверхности</w:t>
            </w:r>
          </w:p>
        </w:tc>
        <w:tc>
          <w:tcPr>
            <w:tcW w:w="851" w:type="dxa"/>
            <w:vMerge/>
            <w:tcBorders>
              <w:top w:val="nil"/>
              <w:left w:val="single" w:sz="8" w:space="0" w:color="000000"/>
              <w:bottom w:val="single" w:sz="8" w:space="0" w:color="000000"/>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single" w:sz="8" w:space="0" w:color="000000"/>
              <w:right w:val="nil"/>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vMerge/>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vMerge/>
            <w:tcBorders>
              <w:top w:val="nil"/>
              <w:left w:val="single" w:sz="8" w:space="0" w:color="000000"/>
              <w:bottom w:val="nil"/>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nil"/>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Поперечные и продольные края салфетки загнуты вовнутрь. </w:t>
            </w:r>
          </w:p>
        </w:tc>
        <w:tc>
          <w:tcPr>
            <w:tcW w:w="1276"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nil"/>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позволяет исключить попадание нитей ткани на раневую поверхность</w:t>
            </w:r>
          </w:p>
        </w:tc>
        <w:tc>
          <w:tcPr>
            <w:tcW w:w="851" w:type="dxa"/>
            <w:vMerge/>
            <w:tcBorders>
              <w:top w:val="nil"/>
              <w:left w:val="single" w:sz="8" w:space="0" w:color="000000"/>
              <w:bottom w:val="nil"/>
              <w:right w:val="single" w:sz="8" w:space="0" w:color="000000"/>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vMerge/>
            <w:tcBorders>
              <w:top w:val="nil"/>
              <w:left w:val="single" w:sz="8" w:space="0" w:color="000000"/>
              <w:bottom w:val="nil"/>
              <w:right w:val="nil"/>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vMerge/>
            <w:tcBorders>
              <w:top w:val="nil"/>
              <w:left w:val="single" w:sz="4" w:space="0" w:color="auto"/>
              <w:bottom w:val="nil"/>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vMerge/>
            <w:tcBorders>
              <w:top w:val="nil"/>
              <w:left w:val="single" w:sz="4" w:space="0" w:color="auto"/>
              <w:bottom w:val="nil"/>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vMerge/>
            <w:tcBorders>
              <w:top w:val="nil"/>
              <w:left w:val="single" w:sz="4" w:space="0" w:color="auto"/>
              <w:bottom w:val="nil"/>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vMerge/>
            <w:tcBorders>
              <w:top w:val="nil"/>
              <w:left w:val="single" w:sz="4" w:space="0" w:color="auto"/>
              <w:bottom w:val="nil"/>
              <w:right w:val="single" w:sz="4" w:space="0" w:color="auto"/>
            </w:tcBorders>
            <w:vAlign w:val="center"/>
            <w:hideMark/>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796" w:type="dxa"/>
            <w:gridSpan w:val="5"/>
            <w:tcBorders>
              <w:top w:val="nil"/>
              <w:left w:val="nil"/>
              <w:bottom w:val="single" w:sz="4" w:space="0" w:color="auto"/>
              <w:right w:val="single" w:sz="8" w:space="0" w:color="000000"/>
            </w:tcBorders>
          </w:tcPr>
          <w:p w:rsidR="00C76B8D" w:rsidRPr="00C76B8D" w:rsidRDefault="00C76B8D" w:rsidP="00E37F28">
            <w:pPr>
              <w:rPr>
                <w:rFonts w:ascii="Times New Roman" w:hAnsi="Times New Roman" w:cs="Times New Roman"/>
                <w:color w:val="000000"/>
                <w:sz w:val="14"/>
                <w:szCs w:val="14"/>
              </w:rPr>
            </w:pPr>
            <w:r w:rsidRPr="00C76B8D">
              <w:rPr>
                <w:rFonts w:ascii="Times New Roman" w:hAnsi="Times New Roman" w:cs="Times New Roman"/>
                <w:color w:val="000000"/>
                <w:sz w:val="14"/>
                <w:szCs w:val="14"/>
              </w:rPr>
              <w:t>2.Тампон марлевый круглый</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Количество тампонов в наборе</w:t>
            </w:r>
          </w:p>
        </w:tc>
        <w:tc>
          <w:tcPr>
            <w:tcW w:w="1276"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5</w:t>
            </w:r>
          </w:p>
        </w:tc>
        <w:tc>
          <w:tcPr>
            <w:tcW w:w="992"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шт</w:t>
            </w:r>
          </w:p>
        </w:tc>
        <w:tc>
          <w:tcPr>
            <w:tcW w:w="1701"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nil"/>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Необходимый показатель комплектности расходного материала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Диаметр тампона </w:t>
            </w:r>
          </w:p>
        </w:tc>
        <w:tc>
          <w:tcPr>
            <w:tcW w:w="1276"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33 и ≤ 37</w:t>
            </w:r>
          </w:p>
        </w:tc>
        <w:tc>
          <w:tcPr>
            <w:tcW w:w="992"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nil"/>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Материал изготовления - марля (100% хлопок)</w:t>
            </w:r>
          </w:p>
        </w:tc>
        <w:tc>
          <w:tcPr>
            <w:tcW w:w="1276"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nil"/>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Показатель, позволяющий обеспечить высокую впитываемость </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Кольцо из трубки силиконовой медицинской</w:t>
            </w:r>
          </w:p>
        </w:tc>
        <w:tc>
          <w:tcPr>
            <w:tcW w:w="1276"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nil"/>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Обеспечивает сборку и надежную фиксацию формы марлевого материала в виде шарика, препятствует развертыванию изделия.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nil"/>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Диаметр кольца</w:t>
            </w:r>
          </w:p>
        </w:tc>
        <w:tc>
          <w:tcPr>
            <w:tcW w:w="1276"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≥9  и ≤ 11 </w:t>
            </w:r>
          </w:p>
        </w:tc>
        <w:tc>
          <w:tcPr>
            <w:tcW w:w="992"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nil"/>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nil"/>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сборки изделия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single" w:sz="4" w:space="0" w:color="auto"/>
              <w:bottom w:val="single" w:sz="4" w:space="0" w:color="auto"/>
              <w:right w:val="single" w:sz="4" w:space="0" w:color="auto"/>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Ширина кольца</w:t>
            </w:r>
          </w:p>
        </w:tc>
        <w:tc>
          <w:tcPr>
            <w:tcW w:w="1276"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≥1  и ≤ 2</w:t>
            </w:r>
          </w:p>
        </w:tc>
        <w:tc>
          <w:tcPr>
            <w:tcW w:w="992"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сборки изделия</w:t>
            </w:r>
          </w:p>
        </w:tc>
        <w:tc>
          <w:tcPr>
            <w:tcW w:w="851" w:type="dxa"/>
            <w:tcBorders>
              <w:top w:val="nil"/>
              <w:left w:val="single" w:sz="4" w:space="0" w:color="auto"/>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single" w:sz="4" w:space="0" w:color="auto"/>
              <w:bottom w:val="single" w:sz="4" w:space="0" w:color="auto"/>
              <w:right w:val="single" w:sz="4" w:space="0" w:color="auto"/>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Поверхностная плотность марли</w:t>
            </w:r>
          </w:p>
        </w:tc>
        <w:tc>
          <w:tcPr>
            <w:tcW w:w="1276"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≥25  и ≤ 29</w:t>
            </w:r>
          </w:p>
        </w:tc>
        <w:tc>
          <w:tcPr>
            <w:tcW w:w="992"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г/м2</w:t>
            </w:r>
          </w:p>
        </w:tc>
        <w:tc>
          <w:tcPr>
            <w:tcW w:w="1701"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позволяет обеспечить качественную обработку раневой поверхности</w:t>
            </w:r>
          </w:p>
        </w:tc>
        <w:tc>
          <w:tcPr>
            <w:tcW w:w="851" w:type="dxa"/>
            <w:tcBorders>
              <w:top w:val="nil"/>
              <w:left w:val="single" w:sz="4" w:space="0" w:color="auto"/>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796" w:type="dxa"/>
            <w:gridSpan w:val="5"/>
            <w:tcBorders>
              <w:top w:val="single" w:sz="4" w:space="0" w:color="auto"/>
              <w:left w:val="single" w:sz="4" w:space="0" w:color="auto"/>
              <w:bottom w:val="single" w:sz="4" w:space="0" w:color="auto"/>
              <w:right w:val="single" w:sz="4" w:space="0" w:color="auto"/>
            </w:tcBorders>
          </w:tcPr>
          <w:p w:rsidR="00C76B8D" w:rsidRPr="00C76B8D" w:rsidRDefault="00C76B8D" w:rsidP="00E37F28">
            <w:pPr>
              <w:rPr>
                <w:rFonts w:ascii="Times New Roman" w:hAnsi="Times New Roman" w:cs="Times New Roman"/>
                <w:color w:val="000000"/>
                <w:sz w:val="14"/>
                <w:szCs w:val="14"/>
              </w:rPr>
            </w:pPr>
            <w:r w:rsidRPr="00C76B8D">
              <w:rPr>
                <w:rFonts w:ascii="Times New Roman" w:hAnsi="Times New Roman" w:cs="Times New Roman"/>
                <w:color w:val="000000"/>
                <w:sz w:val="14"/>
                <w:szCs w:val="14"/>
              </w:rPr>
              <w:t>3.Покрытие с апертурой и адгезивным слоем</w:t>
            </w:r>
          </w:p>
        </w:tc>
        <w:tc>
          <w:tcPr>
            <w:tcW w:w="851" w:type="dxa"/>
            <w:tcBorders>
              <w:top w:val="nil"/>
              <w:left w:val="single" w:sz="4" w:space="0" w:color="auto"/>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single" w:sz="4" w:space="0" w:color="auto"/>
              <w:bottom w:val="single" w:sz="4" w:space="0" w:color="auto"/>
              <w:right w:val="single" w:sz="4" w:space="0" w:color="auto"/>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Количество покрытия с апертурой и адгезивным слоем в наборе</w:t>
            </w:r>
          </w:p>
        </w:tc>
        <w:tc>
          <w:tcPr>
            <w:tcW w:w="1276"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1</w:t>
            </w:r>
          </w:p>
        </w:tc>
        <w:tc>
          <w:tcPr>
            <w:tcW w:w="992"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шт</w:t>
            </w:r>
          </w:p>
        </w:tc>
        <w:tc>
          <w:tcPr>
            <w:tcW w:w="1701"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4" w:space="0" w:color="auto"/>
              <w:bottom w:val="single" w:sz="4" w:space="0" w:color="auto"/>
              <w:right w:val="single" w:sz="4" w:space="0" w:color="auto"/>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Необходимый показатель комплектности расходного материала</w:t>
            </w:r>
          </w:p>
        </w:tc>
        <w:tc>
          <w:tcPr>
            <w:tcW w:w="851" w:type="dxa"/>
            <w:tcBorders>
              <w:top w:val="nil"/>
              <w:left w:val="single" w:sz="4" w:space="0" w:color="auto"/>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Длина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rPr>
                <w:rFonts w:ascii="Times New Roman" w:hAnsi="Times New Roman" w:cs="Times New Roman"/>
                <w:color w:val="000000"/>
                <w:sz w:val="14"/>
                <w:szCs w:val="14"/>
              </w:rPr>
            </w:pPr>
            <w:r w:rsidRPr="00C76B8D">
              <w:rPr>
                <w:rFonts w:ascii="Times New Roman" w:hAnsi="Times New Roman" w:cs="Times New Roman"/>
                <w:color w:val="000000"/>
                <w:sz w:val="14"/>
                <w:szCs w:val="14"/>
              </w:rPr>
              <w:t>≥71  и ≤79</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Ширина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≥71  и ≤ 79</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Материал изготовления: нетканый ламинированный </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spacing w:after="240"/>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непромокаемость покрытия операционного стола для проведения процедуры.</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Диаметр  выреза в  центре покрытия  </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8</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Обеспечивает высокую гигиеничность в зоне проведения манипуляций</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Вокруг апертуры (выреза)- адгезивный слой в виде двухсторонней клейкой ленты размером </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 12 х12 </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Обеспечивает устойчивость к отслаиванию</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Клеевой слой: гипоаллергенный биосовместимый синтетический каучуковый клей</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Обеспечивает безопасность применения для пациента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Сверху адгезивный слой закрывается ламинированной бумагой, которая имеет выделение цветовой полосой, обозначающей зону легкого отделения</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Обеспечивает защиту от  влаги.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Поверхностная плотность материала </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≥40 </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г/м2</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Значение параметра обеспечивает высокую прочность изделия </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796" w:type="dxa"/>
            <w:gridSpan w:val="5"/>
            <w:tcBorders>
              <w:top w:val="single" w:sz="4" w:space="0" w:color="auto"/>
              <w:left w:val="nil"/>
              <w:bottom w:val="single" w:sz="4" w:space="0" w:color="auto"/>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4.Покрытие стола двухслойное</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Количество </w:t>
            </w:r>
            <w:r w:rsidRPr="00C76B8D">
              <w:rPr>
                <w:rFonts w:ascii="Times New Roman" w:eastAsia="Times New Roman" w:hAnsi="Times New Roman" w:cs="Times New Roman"/>
                <w:color w:val="000000"/>
                <w:sz w:val="14"/>
                <w:szCs w:val="14"/>
                <w:lang w:eastAsia="ru-RU"/>
              </w:rPr>
              <w:t xml:space="preserve">покрытие стола двухслойного </w:t>
            </w:r>
            <w:r w:rsidRPr="00C76B8D">
              <w:rPr>
                <w:rFonts w:ascii="Times New Roman" w:hAnsi="Times New Roman" w:cs="Times New Roman"/>
                <w:color w:val="000000"/>
                <w:sz w:val="14"/>
                <w:szCs w:val="14"/>
              </w:rPr>
              <w:t>в наборе</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1</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шт</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Необходимый показатель комплектности расходного материала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Ширина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≥71 и ≤79</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Длина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≥85 и ≤95</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Материал изготовления: нетканый ламинированный</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непромокаемость покрытия операционного стола для проведения процедуры.</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Поверхностная плотность </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 38 и   ≤ 42                   </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г/м2</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Значение параметра обеспечивает непромокаемость покрытия операционного стола для проведения процедуры </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796" w:type="dxa"/>
            <w:gridSpan w:val="5"/>
            <w:tcBorders>
              <w:top w:val="single" w:sz="4" w:space="0" w:color="auto"/>
              <w:left w:val="nil"/>
              <w:bottom w:val="single" w:sz="4" w:space="0" w:color="auto"/>
              <w:right w:val="single" w:sz="8" w:space="0" w:color="000000"/>
            </w:tcBorders>
            <w:vAlign w:val="center"/>
          </w:tcPr>
          <w:p w:rsidR="00C76B8D" w:rsidRPr="00C76B8D" w:rsidRDefault="00C76B8D" w:rsidP="00E37F28">
            <w:pPr>
              <w:rPr>
                <w:rFonts w:ascii="Times New Roman" w:hAnsi="Times New Roman" w:cs="Times New Roman"/>
                <w:color w:val="000000"/>
                <w:sz w:val="14"/>
                <w:szCs w:val="14"/>
              </w:rPr>
            </w:pPr>
            <w:r w:rsidRPr="00C76B8D">
              <w:rPr>
                <w:rFonts w:ascii="Times New Roman" w:hAnsi="Times New Roman" w:cs="Times New Roman"/>
                <w:color w:val="000000"/>
                <w:sz w:val="14"/>
                <w:szCs w:val="14"/>
              </w:rPr>
              <w:t>5.Пинцет пластиковый перевязочный</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Количество пинцетов в наборе</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1</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шт</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Необходимый показатель комплектности расходного материала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Длина пинцета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 125 и ≤  135                   </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Оптимальный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Расстояние между браншами</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 20   и ≤30                  </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Характеристика обеспечивает удобство захвата перевязочного материала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Материал изготовления - медицинский полистирол </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Характеристика отражает необходимые свойства материала: нетоксичность отсутствие реакции с растворами, дезинфицирующими, химически агрессивными средами и веществами, не подвержен коррозии.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Поперечные насечки на рабочих частях браншей</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Обеспечивают надежное удержание предметов без усилий.</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796" w:type="dxa"/>
            <w:gridSpan w:val="5"/>
            <w:tcBorders>
              <w:top w:val="single" w:sz="4" w:space="0" w:color="auto"/>
              <w:left w:val="nil"/>
              <w:bottom w:val="single" w:sz="4" w:space="0" w:color="auto"/>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6. Зажим пластиковый</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Количество  зажимов в наборе</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1</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шт</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Необходимый показатель комплектности расходного материала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Длина зажима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≥133 и ≤147</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Материал изготовления: полипропилен со   стекловолокном</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Материал нетоксичен, обладает отсутствием реакции с растворами, дезинфицирующими, химически агрессивными средами и веществами, не подвержен коррозии.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Форма бранш – узкая, длинная,</w:t>
            </w:r>
            <w:r w:rsidRPr="00C76B8D">
              <w:rPr>
                <w:rFonts w:ascii="Times New Roman" w:hAnsi="Times New Roman" w:cs="Times New Roman"/>
                <w:sz w:val="14"/>
                <w:szCs w:val="14"/>
              </w:rPr>
              <w:t xml:space="preserve"> </w:t>
            </w:r>
            <w:r w:rsidRPr="00C76B8D">
              <w:rPr>
                <w:rFonts w:ascii="Times New Roman" w:hAnsi="Times New Roman" w:cs="Times New Roman"/>
                <w:color w:val="000000"/>
                <w:sz w:val="14"/>
                <w:szCs w:val="14"/>
              </w:rPr>
              <w:t>острые зубцы на рабочей поверхности бранш</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захват, для максимального обеспечения кровоостанавливающей функции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Зажим имеет защелку кремальеру.</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Для максимального обеспечения кровоостанавливающей функции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796" w:type="dxa"/>
            <w:gridSpan w:val="5"/>
            <w:tcBorders>
              <w:top w:val="single" w:sz="4" w:space="0" w:color="auto"/>
              <w:left w:val="nil"/>
              <w:bottom w:val="single" w:sz="4" w:space="0" w:color="auto"/>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7.</w:t>
            </w:r>
            <w:r w:rsidRPr="00C76B8D">
              <w:rPr>
                <w:rFonts w:ascii="Times New Roman" w:hAnsi="Times New Roman" w:cs="Times New Roman"/>
                <w:sz w:val="14"/>
                <w:szCs w:val="14"/>
              </w:rPr>
              <w:t xml:space="preserve"> </w:t>
            </w:r>
            <w:r w:rsidRPr="00C76B8D">
              <w:rPr>
                <w:rFonts w:ascii="Times New Roman" w:eastAsia="Times New Roman" w:hAnsi="Times New Roman" w:cs="Times New Roman"/>
                <w:color w:val="000000"/>
                <w:sz w:val="14"/>
                <w:szCs w:val="14"/>
                <w:lang w:eastAsia="ru-RU"/>
              </w:rPr>
              <w:t>Иглодержатель стальной</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Количество в наборе</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1</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шт</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Необходимый показатель комплектности расходного материала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Длина </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155 и ≤ 165</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Материал изготовления: нержавеющая сталь</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Материал нетоксичен, обладает отсутствием реакции с растворами, дезинфицирующими, химически агрессивными средами и веществами, не подвержен коррозии.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sz w:val="14"/>
                <w:szCs w:val="14"/>
                <w:lang w:eastAsia="ru-RU"/>
              </w:rPr>
            </w:pPr>
          </w:p>
        </w:tc>
        <w:tc>
          <w:tcPr>
            <w:tcW w:w="7796" w:type="dxa"/>
            <w:gridSpan w:val="5"/>
            <w:tcBorders>
              <w:top w:val="single" w:sz="4" w:space="0" w:color="auto"/>
              <w:left w:val="nil"/>
              <w:bottom w:val="single" w:sz="4" w:space="0" w:color="auto"/>
              <w:right w:val="single" w:sz="8" w:space="0" w:color="000000"/>
            </w:tcBorders>
            <w:vAlign w:val="center"/>
          </w:tcPr>
          <w:p w:rsidR="00C76B8D" w:rsidRPr="00C76B8D" w:rsidRDefault="00C76B8D" w:rsidP="00E37F28">
            <w:pPr>
              <w:autoSpaceDE w:val="0"/>
              <w:autoSpaceDN w:val="0"/>
              <w:adjustRightInd w:val="0"/>
              <w:spacing w:after="0" w:line="240" w:lineRule="auto"/>
              <w:rPr>
                <w:rFonts w:ascii="Times New Roman" w:hAnsi="Times New Roman" w:cs="Times New Roman"/>
                <w:sz w:val="14"/>
                <w:szCs w:val="14"/>
              </w:rPr>
            </w:pPr>
            <w:r w:rsidRPr="00C76B8D">
              <w:rPr>
                <w:rFonts w:ascii="Times New Roman" w:hAnsi="Times New Roman" w:cs="Times New Roman"/>
                <w:sz w:val="14"/>
                <w:szCs w:val="14"/>
              </w:rPr>
              <w:t>8.Пластырная повязка для фиксации</w:t>
            </w:r>
          </w:p>
          <w:p w:rsidR="00C76B8D" w:rsidRPr="00C76B8D" w:rsidRDefault="00C76B8D" w:rsidP="00E37F28">
            <w:pPr>
              <w:spacing w:after="0" w:line="240" w:lineRule="auto"/>
              <w:rPr>
                <w:rFonts w:ascii="Times New Roman" w:eastAsia="Times New Roman" w:hAnsi="Times New Roman" w:cs="Times New Roman"/>
                <w:sz w:val="14"/>
                <w:szCs w:val="14"/>
                <w:lang w:eastAsia="ru-RU"/>
              </w:rPr>
            </w:pPr>
            <w:r w:rsidRPr="00C76B8D">
              <w:rPr>
                <w:rFonts w:ascii="Times New Roman" w:hAnsi="Times New Roman" w:cs="Times New Roman"/>
                <w:sz w:val="14"/>
                <w:szCs w:val="14"/>
              </w:rPr>
              <w:t>катетера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Количество повязок в наборе</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1</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шт</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Необходимый показатель комплектности расходного материала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Ширина: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66 и ≤ 110</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Длина: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80 и ≤ 140</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Повязка состоит из многослойного нетканого материала основы с покрытием, включающим смотровое окно из прозрачной полиуретановой пленки и разреза для фиксации канюли при введении внутривенного катетера.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плотное закрытия пункционного отверстия после проведения процедуры, высокую впитываемость, визуальный контроль за местом ввода катетера/канюли во время использования повязки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Размеры окна повязки длина: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66 и ≤ 83</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vMerge w:val="restart"/>
            <w:tcBorders>
              <w:top w:val="single" w:sz="4" w:space="0" w:color="auto"/>
              <w:left w:val="single" w:sz="8" w:space="0" w:color="000000"/>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Размеры окна повязки ширина: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57 и ≤ 63</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vMerge/>
            <w:tcBorders>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Повязка изготовлена из нетканой основы с прозрачной вставкой из полиэтиленовой плёнки в центре повязки, покрыта, с одной стороны, клеевым слоем. Имеет защитный слой ламинированной бумаги на липкой стороне.</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плотное закрытия пункционного отверстия после проведения процедуры и высокую впитываемость</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Края повязки закругленные</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необходимо для предотвращения отлипания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796" w:type="dxa"/>
            <w:gridSpan w:val="5"/>
            <w:tcBorders>
              <w:top w:val="single" w:sz="4" w:space="0" w:color="auto"/>
              <w:left w:val="nil"/>
              <w:bottom w:val="single" w:sz="4" w:space="0" w:color="auto"/>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9. Скальпель с пластиковой ручкой</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Количество скальпелей в наборе</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≥1</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шт</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Необходимый показатель комплектности расходного материала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Длина скальпеля</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≥133 и  ≤ 147</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Участник закупки указывает конкретное значение характеристики </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Длина лезвия (полная)</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≥40 и ≤ 44</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мм</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Участник закупки указывает конкретное значение характеристики </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Материал ручки–пластик</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Материал нетоксичен, обладает отсутствием реакции с растворами, дезинфицирующими, химически агрессивными средами и веществами, не подвержен коррозии.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Материал лезвия – нержавеющая сталь. </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Материал способен обеспечить стерильность (благодаря устойчивости к температурным перепадам и химическим воздействиям). Отличается механической прочностью и твердостью, на его поверхности плохо образуются царапины. </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Форма лезвия - прямая</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Показатель обеспечивает точность проведения манипуляции по рассечению тканей</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Защитный колпачок из полиэтилена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Защитный колпачок надежно защищает лезвие скальпеля от повреждений, обеспечивает атравматичность при подготовке к манипуляции. </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796" w:type="dxa"/>
            <w:gridSpan w:val="5"/>
            <w:tcBorders>
              <w:top w:val="single" w:sz="4" w:space="0" w:color="auto"/>
              <w:left w:val="nil"/>
              <w:bottom w:val="single" w:sz="4" w:space="0" w:color="auto"/>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10.Ёмкость пластиковая градуированная</w:t>
            </w:r>
          </w:p>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Количество в наборе</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1</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шт</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Необходимый показатель комплектности расходного материала</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Объём емкости</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57 и ≤ 63</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мл</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Участник закупки указывает конкретное значение характеристики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оптимальный размер для удобства использования</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Материал изготовления: полипропилен</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Материал прочен, нетоксичен, обладает отсутствием реакции с дезинфицирующими растворами </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Градуировка на боковой поверхности</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точность объема наливаемой жидкости</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Упаковка:</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vAlign w:val="center"/>
          </w:tcPr>
          <w:p w:rsidR="00C76B8D" w:rsidRPr="00C76B8D" w:rsidRDefault="00C76B8D" w:rsidP="00C76B8D">
            <w:pPr>
              <w:spacing w:after="0" w:line="240" w:lineRule="auto"/>
              <w:rPr>
                <w:rFonts w:ascii="Times New Roman" w:eastAsia="Times New Roman" w:hAnsi="Times New Roman" w:cs="Times New Roman"/>
                <w:color w:val="000000"/>
                <w:sz w:val="14"/>
                <w:szCs w:val="14"/>
                <w:lang w:eastAsia="ru-RU"/>
              </w:rPr>
            </w:pPr>
            <w:r w:rsidRPr="00C76B8D">
              <w:rPr>
                <w:rFonts w:ascii="Times New Roman" w:eastAsia="Times New Roman" w:hAnsi="Times New Roman" w:cs="Times New Roman"/>
                <w:color w:val="000000"/>
                <w:sz w:val="14"/>
                <w:szCs w:val="14"/>
                <w:lang w:eastAsia="ru-RU"/>
              </w:rPr>
              <w:t>Набор упакован в жесткий контурный формованный лоток-блистер с одним отделением</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Значение параметра обеспечивает удобство хранения и эксплуатации набора </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Лоток имеет прозрачный цвет</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Обеспечивает хороший обзор всех компонентов набора в закрытом состоянии, что облегчает легкость и быстроту выбора нужного набора для проведение процедуры</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r w:rsidR="00C76B8D" w:rsidRPr="00C76B8D" w:rsidTr="00C76B8D">
        <w:trPr>
          <w:trHeight w:val="300"/>
        </w:trPr>
        <w:tc>
          <w:tcPr>
            <w:tcW w:w="402" w:type="dxa"/>
            <w:tcBorders>
              <w:left w:val="single" w:sz="8" w:space="0" w:color="000000"/>
              <w:right w:val="single" w:sz="8" w:space="0" w:color="000000"/>
            </w:tcBorders>
            <w:vAlign w:val="center"/>
          </w:tcPr>
          <w:p w:rsidR="00C76B8D" w:rsidRPr="00C76B8D" w:rsidRDefault="00C76B8D" w:rsidP="00E37F28">
            <w:pPr>
              <w:spacing w:after="0" w:line="240" w:lineRule="auto"/>
              <w:jc w:val="center"/>
              <w:rPr>
                <w:rFonts w:ascii="Times New Roman" w:eastAsia="Times New Roman" w:hAnsi="Times New Roman" w:cs="Times New Roman"/>
                <w:color w:val="000000"/>
                <w:sz w:val="14"/>
                <w:szCs w:val="14"/>
                <w:lang w:eastAsia="ru-RU"/>
              </w:rPr>
            </w:pPr>
          </w:p>
        </w:tc>
        <w:tc>
          <w:tcPr>
            <w:tcW w:w="1559"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2268" w:type="dxa"/>
            <w:tcBorders>
              <w:top w:val="single" w:sz="4" w:space="0" w:color="auto"/>
              <w:left w:val="nil"/>
              <w:bottom w:val="single" w:sz="4" w:space="0" w:color="auto"/>
              <w:right w:val="single" w:sz="8" w:space="0" w:color="000000"/>
            </w:tcBorders>
          </w:tcPr>
          <w:p w:rsidR="00C76B8D" w:rsidRPr="00C76B8D" w:rsidRDefault="00C76B8D" w:rsidP="00C76B8D">
            <w:pPr>
              <w:rPr>
                <w:rFonts w:ascii="Times New Roman" w:hAnsi="Times New Roman" w:cs="Times New Roman"/>
                <w:color w:val="000000"/>
                <w:sz w:val="14"/>
                <w:szCs w:val="14"/>
              </w:rPr>
            </w:pPr>
            <w:r w:rsidRPr="00C76B8D">
              <w:rPr>
                <w:rFonts w:ascii="Times New Roman" w:hAnsi="Times New Roman" w:cs="Times New Roman"/>
                <w:color w:val="000000"/>
                <w:sz w:val="14"/>
                <w:szCs w:val="14"/>
              </w:rPr>
              <w:t>На упаковке этикетка, содержащая полную идентификацию изделия и состав, артикул изделия, номер, ЛОТ (партии), срок годности, наименование мед.изд. название производителя</w:t>
            </w:r>
          </w:p>
        </w:tc>
        <w:tc>
          <w:tcPr>
            <w:tcW w:w="1276"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Соответствие</w:t>
            </w:r>
          </w:p>
        </w:tc>
        <w:tc>
          <w:tcPr>
            <w:tcW w:w="992"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 xml:space="preserve">   </w:t>
            </w:r>
          </w:p>
        </w:tc>
        <w:tc>
          <w:tcPr>
            <w:tcW w:w="1701" w:type="dxa"/>
            <w:tcBorders>
              <w:top w:val="single" w:sz="4" w:space="0" w:color="auto"/>
              <w:left w:val="nil"/>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характеристики не может изменяться участником закупки</w:t>
            </w:r>
          </w:p>
        </w:tc>
        <w:tc>
          <w:tcPr>
            <w:tcW w:w="1559" w:type="dxa"/>
            <w:tcBorders>
              <w:top w:val="single" w:sz="4" w:space="0" w:color="auto"/>
              <w:left w:val="single" w:sz="8" w:space="0" w:color="000000"/>
              <w:bottom w:val="single" w:sz="4" w:space="0" w:color="auto"/>
              <w:right w:val="single" w:sz="8" w:space="0" w:color="000000"/>
            </w:tcBorders>
          </w:tcPr>
          <w:p w:rsidR="00C76B8D" w:rsidRPr="00C76B8D" w:rsidRDefault="00C76B8D" w:rsidP="00E37F28">
            <w:pPr>
              <w:jc w:val="center"/>
              <w:rPr>
                <w:rFonts w:ascii="Times New Roman" w:hAnsi="Times New Roman" w:cs="Times New Roman"/>
                <w:color w:val="000000"/>
                <w:sz w:val="14"/>
                <w:szCs w:val="14"/>
              </w:rPr>
            </w:pPr>
            <w:r w:rsidRPr="00C76B8D">
              <w:rPr>
                <w:rFonts w:ascii="Times New Roman" w:hAnsi="Times New Roman" w:cs="Times New Roman"/>
                <w:color w:val="000000"/>
                <w:sz w:val="14"/>
                <w:szCs w:val="14"/>
              </w:rPr>
              <w:t>Значение параметра обеспечивает верификацию оригинальности изделия и контроль годности к его применению</w:t>
            </w:r>
          </w:p>
        </w:tc>
        <w:tc>
          <w:tcPr>
            <w:tcW w:w="851" w:type="dxa"/>
            <w:tcBorders>
              <w:top w:val="nil"/>
              <w:left w:val="single" w:sz="8" w:space="0" w:color="000000"/>
              <w:bottom w:val="nil"/>
              <w:right w:val="single" w:sz="8" w:space="0" w:color="000000"/>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1134" w:type="dxa"/>
            <w:tcBorders>
              <w:top w:val="nil"/>
              <w:left w:val="single" w:sz="8" w:space="0" w:color="000000"/>
              <w:bottom w:val="nil"/>
              <w:right w:val="nil"/>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992"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80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567"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c>
          <w:tcPr>
            <w:tcW w:w="709" w:type="dxa"/>
            <w:tcBorders>
              <w:top w:val="nil"/>
              <w:left w:val="single" w:sz="4" w:space="0" w:color="auto"/>
              <w:bottom w:val="nil"/>
              <w:right w:val="single" w:sz="4" w:space="0" w:color="auto"/>
            </w:tcBorders>
            <w:vAlign w:val="center"/>
          </w:tcPr>
          <w:p w:rsidR="00C76B8D" w:rsidRPr="00C76B8D" w:rsidRDefault="00C76B8D" w:rsidP="00E37F28">
            <w:pPr>
              <w:spacing w:after="0" w:line="240" w:lineRule="auto"/>
              <w:rPr>
                <w:rFonts w:ascii="Times New Roman" w:eastAsia="Times New Roman" w:hAnsi="Times New Roman" w:cs="Times New Roman"/>
                <w:color w:val="000000"/>
                <w:sz w:val="14"/>
                <w:szCs w:val="14"/>
                <w:lang w:eastAsia="ru-RU"/>
              </w:rPr>
            </w:pPr>
          </w:p>
        </w:tc>
      </w:tr>
    </w:tbl>
    <w:p w:rsidR="00C76B8D" w:rsidRDefault="00C76B8D" w:rsidP="00C76B8D">
      <w:pPr>
        <w:autoSpaceDE w:val="0"/>
        <w:autoSpaceDN w:val="0"/>
        <w:adjustRightInd w:val="0"/>
        <w:rPr>
          <w:rFonts w:ascii="Times New Roman CYR" w:eastAsia="Times New Roman" w:hAnsi="Times New Roman CYR" w:cs="Times New Roman CYR"/>
          <w:b/>
          <w:bCs/>
        </w:rPr>
      </w:pPr>
    </w:p>
    <w:p w:rsidR="00C76B8D" w:rsidRPr="00ED1392" w:rsidRDefault="00C76B8D" w:rsidP="00C76B8D">
      <w:pPr>
        <w:autoSpaceDE w:val="0"/>
        <w:autoSpaceDN w:val="0"/>
        <w:adjustRightInd w:val="0"/>
        <w:rPr>
          <w:rFonts w:ascii="Times New Roman CYR" w:eastAsia="Times New Roman" w:hAnsi="Times New Roman CYR" w:cs="Times New Roman CYR"/>
          <w:b/>
          <w:bCs/>
        </w:rPr>
      </w:pPr>
      <w:r w:rsidRPr="00ED1392">
        <w:rPr>
          <w:rFonts w:ascii="Times New Roman CYR" w:eastAsia="Times New Roman" w:hAnsi="Times New Roman CYR" w:cs="Times New Roman CYR"/>
          <w:b/>
          <w:bCs/>
        </w:rPr>
        <w:t>*</w:t>
      </w:r>
      <w:r w:rsidRPr="00ED1392">
        <w:rPr>
          <w:rFonts w:ascii="Times New Roman CYR" w:eastAsia="Times New Roman" w:hAnsi="Times New Roman CYR" w:cs="Times New Roman CYR"/>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sidRPr="00ED1392">
        <w:rPr>
          <w:rFonts w:ascii="Times New Roman CYR" w:eastAsia="Times New Roman" w:hAnsi="Times New Roman CYR" w:cs="Times New Roman CYR"/>
          <w:b/>
          <w:bCs/>
        </w:rPr>
        <w:t xml:space="preserve"> </w:t>
      </w:r>
      <w:r w:rsidRPr="00ED1392">
        <w:rPr>
          <w:rFonts w:ascii="Roboto" w:eastAsia="Times New Roman" w:hAnsi="Roboto" w:cs="Roboto"/>
          <w:color w:val="333333"/>
          <w:highlight w:val="white"/>
        </w:rPr>
        <w:t>(</w:t>
      </w:r>
      <w:hyperlink r:id="rId18" w:history="1">
        <w:r w:rsidRPr="00ED1392">
          <w:rPr>
            <w:rFonts w:ascii="Calibri" w:eastAsia="Times New Roman" w:hAnsi="Calibri" w:cs="Calibri"/>
            <w:color w:val="0064E0"/>
            <w:highlight w:val="white"/>
            <w:u w:val="single"/>
          </w:rPr>
          <w:t>письмо</w:t>
        </w:r>
      </w:hyperlink>
      <w:r w:rsidRPr="00ED1392">
        <w:rPr>
          <w:rFonts w:ascii="Roboto" w:eastAsia="Times New Roman" w:hAnsi="Roboto" w:cs="Roboto"/>
          <w:color w:val="333333"/>
          <w:highlight w:val="white"/>
          <w:lang w:val="en-US"/>
        </w:rPr>
        <w:t> </w:t>
      </w:r>
      <w:r w:rsidRPr="00ED1392">
        <w:rPr>
          <w:rFonts w:ascii="Calibri" w:eastAsia="Times New Roman" w:hAnsi="Calibri" w:cs="Calibri"/>
          <w:color w:val="333333"/>
          <w:highlight w:val="white"/>
        </w:rPr>
        <w:t>Минфина</w:t>
      </w:r>
      <w:r w:rsidRPr="00ED1392">
        <w:rPr>
          <w:rFonts w:ascii="Roboto" w:eastAsia="Times New Roman" w:hAnsi="Roboto" w:cs="Roboto"/>
          <w:color w:val="333333"/>
          <w:highlight w:val="white"/>
        </w:rPr>
        <w:t xml:space="preserve"> </w:t>
      </w:r>
      <w:r w:rsidRPr="00ED1392">
        <w:rPr>
          <w:rFonts w:ascii="Calibri" w:eastAsia="Times New Roman" w:hAnsi="Calibri" w:cs="Calibri"/>
          <w:color w:val="333333"/>
          <w:highlight w:val="white"/>
        </w:rPr>
        <w:t>России</w:t>
      </w:r>
      <w:r w:rsidRPr="00ED1392">
        <w:rPr>
          <w:rFonts w:ascii="Roboto" w:eastAsia="Times New Roman" w:hAnsi="Roboto" w:cs="Roboto"/>
          <w:color w:val="333333"/>
          <w:highlight w:val="white"/>
        </w:rPr>
        <w:t xml:space="preserve"> </w:t>
      </w:r>
      <w:r w:rsidRPr="00ED1392">
        <w:rPr>
          <w:rFonts w:ascii="Calibri" w:eastAsia="Times New Roman" w:hAnsi="Calibri" w:cs="Calibri"/>
          <w:color w:val="333333"/>
          <w:highlight w:val="white"/>
        </w:rPr>
        <w:t>от</w:t>
      </w:r>
      <w:r w:rsidRPr="00ED1392">
        <w:rPr>
          <w:rFonts w:ascii="Roboto" w:eastAsia="Times New Roman" w:hAnsi="Roboto" w:cs="Roboto"/>
          <w:color w:val="333333"/>
          <w:highlight w:val="white"/>
        </w:rPr>
        <w:t xml:space="preserve"> 24 </w:t>
      </w:r>
      <w:r w:rsidRPr="00ED1392">
        <w:rPr>
          <w:rFonts w:ascii="Calibri" w:eastAsia="Times New Roman" w:hAnsi="Calibri" w:cs="Calibri"/>
          <w:color w:val="333333"/>
          <w:highlight w:val="white"/>
        </w:rPr>
        <w:t>января</w:t>
      </w:r>
      <w:r w:rsidRPr="00ED1392">
        <w:rPr>
          <w:rFonts w:ascii="Roboto" w:eastAsia="Times New Roman" w:hAnsi="Roboto" w:cs="Roboto"/>
          <w:color w:val="333333"/>
          <w:highlight w:val="white"/>
        </w:rPr>
        <w:t xml:space="preserve"> 2022 </w:t>
      </w:r>
      <w:r w:rsidRPr="00ED1392">
        <w:rPr>
          <w:rFonts w:ascii="Calibri" w:eastAsia="Times New Roman" w:hAnsi="Calibri" w:cs="Calibri"/>
          <w:color w:val="333333"/>
          <w:highlight w:val="white"/>
        </w:rPr>
        <w:t>г</w:t>
      </w:r>
      <w:r w:rsidRPr="00ED1392">
        <w:rPr>
          <w:rFonts w:ascii="Roboto" w:eastAsia="Times New Roman" w:hAnsi="Roboto" w:cs="Roboto"/>
          <w:color w:val="333333"/>
          <w:highlight w:val="white"/>
        </w:rPr>
        <w:t xml:space="preserve">. </w:t>
      </w:r>
      <w:r w:rsidRPr="00ED1392">
        <w:rPr>
          <w:rFonts w:ascii="Roboto" w:eastAsia="Times New Roman" w:hAnsi="Roboto" w:cs="Roboto"/>
          <w:color w:val="333333"/>
          <w:highlight w:val="white"/>
          <w:lang w:val="en-US"/>
        </w:rPr>
        <w:t>N</w:t>
      </w:r>
      <w:r w:rsidRPr="00ED1392">
        <w:rPr>
          <w:rFonts w:ascii="Roboto" w:eastAsia="Times New Roman" w:hAnsi="Roboto" w:cs="Roboto"/>
          <w:color w:val="333333"/>
          <w:highlight w:val="white"/>
        </w:rPr>
        <w:t xml:space="preserve"> 24-03-08/4090)</w:t>
      </w:r>
    </w:p>
    <w:p w:rsidR="00170252" w:rsidRDefault="00170252" w:rsidP="000820E3">
      <w:pPr>
        <w:rPr>
          <w:rFonts w:ascii="Times New Roman" w:hAnsi="Times New Roman" w:cs="Times New Roman"/>
          <w:b/>
          <w:sz w:val="28"/>
          <w:szCs w:val="28"/>
        </w:rPr>
      </w:pPr>
    </w:p>
    <w:sectPr w:rsidR="00170252" w:rsidSect="00C76B8D">
      <w:headerReference w:type="first" r:id="rId19"/>
      <w:footerReference w:type="first" r:id="rId20"/>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F7B" w:rsidRDefault="00031F7B">
      <w:pPr>
        <w:spacing w:after="0" w:line="240" w:lineRule="auto"/>
      </w:pPr>
      <w:r>
        <w:separator/>
      </w:r>
    </w:p>
  </w:endnote>
  <w:endnote w:type="continuationSeparator" w:id="0">
    <w:p w:rsidR="00031F7B" w:rsidRDefault="00031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04919" w:rsidRDefault="0030491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04919">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304919">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0491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0491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0491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76B8D">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F7B" w:rsidRDefault="00031F7B">
      <w:pPr>
        <w:spacing w:after="0" w:line="240" w:lineRule="auto"/>
      </w:pPr>
      <w:r>
        <w:separator/>
      </w:r>
    </w:p>
  </w:footnote>
  <w:footnote w:type="continuationSeparator" w:id="0">
    <w:p w:rsidR="00031F7B" w:rsidRDefault="00031F7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04919" w:rsidRDefault="0030491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04919" w:rsidRDefault="0030491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04919" w:rsidRDefault="0030491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1F7B"/>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04919"/>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6B8D"/>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minfin.gov.ru/ru/document/?id_4=13539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BA309-96A2-4482-A48F-8CC5AED6D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3091</Words>
  <Characters>17622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2026-11-02T11:54:00Z</dcterms:created>
  <dcterms:modified xsi:type="dcterms:W3CDTF">2026-11-02T11:54:00Z</dcterms:modified>
</cp:coreProperties>
</file>