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16.10.2026 № 21.1-03/2184</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A1513B">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расходных материалов для отделения лабораторной диагностики</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10.12..2026. Максимальное количество партий – 5 (пять).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 преимущество инвалидам</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ook w:val="04A0" w:firstRow="1" w:lastRow="0" w:firstColumn="1" w:lastColumn="0" w:noHBand="0" w:noVBand="1"/>
      </w:tblPr>
      <w:tblGrid>
        <w:gridCol w:w="457"/>
        <w:gridCol w:w="1841"/>
        <w:gridCol w:w="1158"/>
        <w:gridCol w:w="1423"/>
        <w:gridCol w:w="1438"/>
        <w:gridCol w:w="1423"/>
        <w:gridCol w:w="1423"/>
        <w:gridCol w:w="1228"/>
        <w:gridCol w:w="1020"/>
        <w:gridCol w:w="1114"/>
        <w:gridCol w:w="1369"/>
        <w:gridCol w:w="736"/>
        <w:gridCol w:w="600"/>
        <w:gridCol w:w="719"/>
      </w:tblGrid>
      <w:tr w:rsidR="006774BB" w:rsidRPr="006774BB" w:rsidTr="006774BB">
        <w:trPr>
          <w:trHeight w:val="375"/>
        </w:trPr>
        <w:tc>
          <w:tcPr>
            <w:tcW w:w="124" w:type="pct"/>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 п/п</w:t>
            </w:r>
          </w:p>
        </w:tc>
        <w:tc>
          <w:tcPr>
            <w:tcW w:w="463"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Наименование товара по КТРУ/Наименование товара</w:t>
            </w:r>
          </w:p>
        </w:tc>
        <w:tc>
          <w:tcPr>
            <w:tcW w:w="291"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Код КТРУ/ (код ОКПД2 если КТРУ нет)</w:t>
            </w:r>
          </w:p>
        </w:tc>
        <w:tc>
          <w:tcPr>
            <w:tcW w:w="384"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Наименование</w:t>
            </w:r>
            <w:r w:rsidRPr="006774BB">
              <w:rPr>
                <w:rFonts w:ascii="Times New Roman" w:eastAsia="Times New Roman" w:hAnsi="Times New Roman" w:cs="Times New Roman"/>
                <w:sz w:val="18"/>
                <w:szCs w:val="18"/>
                <w:lang w:eastAsia="ru-RU"/>
              </w:rPr>
              <w:br/>
              <w:t>характеристики</w:t>
            </w:r>
          </w:p>
        </w:tc>
        <w:tc>
          <w:tcPr>
            <w:tcW w:w="766"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Значение характеристики</w:t>
            </w:r>
          </w:p>
        </w:tc>
        <w:tc>
          <w:tcPr>
            <w:tcW w:w="373" w:type="pct"/>
            <w:vMerge w:val="restart"/>
            <w:tcBorders>
              <w:top w:val="single" w:sz="8" w:space="0" w:color="auto"/>
              <w:left w:val="nil"/>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Единица измерения характеристики</w:t>
            </w:r>
          </w:p>
        </w:tc>
        <w:tc>
          <w:tcPr>
            <w:tcW w:w="633" w:type="pct"/>
            <w:vMerge w:val="restart"/>
            <w:tcBorders>
              <w:top w:val="single" w:sz="8" w:space="0" w:color="auto"/>
              <w:left w:val="nil"/>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Инструкция по заполнению характеристик в заявке</w:t>
            </w:r>
          </w:p>
        </w:tc>
        <w:tc>
          <w:tcPr>
            <w:tcW w:w="385"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Обоснование</w:t>
            </w:r>
          </w:p>
        </w:tc>
        <w:tc>
          <w:tcPr>
            <w:tcW w:w="261"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Единица измерения</w:t>
            </w:r>
          </w:p>
        </w:tc>
        <w:tc>
          <w:tcPr>
            <w:tcW w:w="280" w:type="pct"/>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Количество</w:t>
            </w:r>
          </w:p>
        </w:tc>
        <w:tc>
          <w:tcPr>
            <w:tcW w:w="3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Arial" w:eastAsia="Times New Roman" w:hAnsi="Arial" w:cs="Arial"/>
                <w:sz w:val="16"/>
                <w:szCs w:val="16"/>
                <w:lang w:eastAsia="ru-RU"/>
              </w:rPr>
            </w:pPr>
            <w:r w:rsidRPr="006774BB">
              <w:rPr>
                <w:rFonts w:ascii="Arial" w:eastAsia="Times New Roman" w:hAnsi="Arial" w:cs="Arial"/>
                <w:sz w:val="16"/>
                <w:szCs w:val="16"/>
                <w:lang w:eastAsia="ru-RU"/>
              </w:rPr>
              <w:t>Страна происхождения Товара</w:t>
            </w:r>
          </w:p>
        </w:tc>
        <w:tc>
          <w:tcPr>
            <w:tcW w:w="23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Arial" w:eastAsia="Times New Roman" w:hAnsi="Arial" w:cs="Arial"/>
                <w:sz w:val="16"/>
                <w:szCs w:val="16"/>
                <w:lang w:eastAsia="ru-RU"/>
              </w:rPr>
            </w:pPr>
            <w:r w:rsidRPr="006774BB">
              <w:rPr>
                <w:rFonts w:ascii="Arial" w:eastAsia="Times New Roman" w:hAnsi="Arial" w:cs="Arial"/>
                <w:sz w:val="16"/>
                <w:szCs w:val="16"/>
                <w:lang w:eastAsia="ru-RU"/>
              </w:rPr>
              <w:t>Ставка НДС%</w:t>
            </w:r>
          </w:p>
        </w:tc>
        <w:tc>
          <w:tcPr>
            <w:tcW w:w="23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Arial" w:eastAsia="Times New Roman" w:hAnsi="Arial" w:cs="Arial"/>
                <w:sz w:val="16"/>
                <w:szCs w:val="16"/>
                <w:lang w:eastAsia="ru-RU"/>
              </w:rPr>
            </w:pPr>
            <w:r w:rsidRPr="006774BB">
              <w:rPr>
                <w:rFonts w:ascii="Arial" w:eastAsia="Times New Roman" w:hAnsi="Arial" w:cs="Arial"/>
                <w:sz w:val="16"/>
                <w:szCs w:val="16"/>
                <w:lang w:eastAsia="ru-RU"/>
              </w:rPr>
              <w:t>Цена за ед. без НДС</w:t>
            </w:r>
          </w:p>
        </w:tc>
        <w:tc>
          <w:tcPr>
            <w:tcW w:w="23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Arial" w:eastAsia="Times New Roman" w:hAnsi="Arial" w:cs="Arial"/>
                <w:sz w:val="16"/>
                <w:szCs w:val="16"/>
                <w:lang w:eastAsia="ru-RU"/>
              </w:rPr>
            </w:pPr>
            <w:r w:rsidRPr="006774BB">
              <w:rPr>
                <w:rFonts w:ascii="Arial" w:eastAsia="Times New Roman" w:hAnsi="Arial" w:cs="Arial"/>
                <w:sz w:val="16"/>
                <w:szCs w:val="16"/>
                <w:lang w:eastAsia="ru-RU"/>
              </w:rPr>
              <w:t>Сумма без НДС</w:t>
            </w:r>
          </w:p>
        </w:tc>
      </w:tr>
      <w:tr w:rsidR="006774BB" w:rsidRPr="006774BB" w:rsidTr="006774BB">
        <w:trPr>
          <w:trHeight w:val="375"/>
        </w:trPr>
        <w:tc>
          <w:tcPr>
            <w:tcW w:w="124" w:type="pct"/>
            <w:vMerge/>
            <w:tcBorders>
              <w:top w:val="single" w:sz="8" w:space="0" w:color="auto"/>
              <w:left w:val="single" w:sz="8"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463"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91"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84"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766"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73" w:type="pct"/>
            <w:vMerge/>
            <w:tcBorders>
              <w:top w:val="single" w:sz="8" w:space="0" w:color="auto"/>
              <w:left w:val="nil"/>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633" w:type="pct"/>
            <w:vMerge/>
            <w:tcBorders>
              <w:top w:val="single" w:sz="8" w:space="0" w:color="auto"/>
              <w:left w:val="nil"/>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85"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61"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80"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44"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0"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2"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r>
      <w:tr w:rsidR="006774BB" w:rsidRPr="006774BB" w:rsidTr="006774BB">
        <w:trPr>
          <w:trHeight w:val="375"/>
        </w:trPr>
        <w:tc>
          <w:tcPr>
            <w:tcW w:w="124" w:type="pct"/>
            <w:vMerge/>
            <w:tcBorders>
              <w:top w:val="single" w:sz="8" w:space="0" w:color="auto"/>
              <w:left w:val="single" w:sz="8"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463"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91"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84"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766"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73" w:type="pct"/>
            <w:vMerge/>
            <w:tcBorders>
              <w:top w:val="single" w:sz="8" w:space="0" w:color="auto"/>
              <w:left w:val="nil"/>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633" w:type="pct"/>
            <w:vMerge/>
            <w:tcBorders>
              <w:top w:val="single" w:sz="8" w:space="0" w:color="auto"/>
              <w:left w:val="nil"/>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85"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61"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80" w:type="pct"/>
            <w:vMerge/>
            <w:tcBorders>
              <w:top w:val="single" w:sz="8" w:space="0" w:color="auto"/>
              <w:left w:val="single" w:sz="4" w:space="0" w:color="auto"/>
              <w:bottom w:val="single" w:sz="8"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44"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3"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0"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2"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r>
      <w:tr w:rsidR="006774BB" w:rsidRPr="006774BB" w:rsidTr="006774BB">
        <w:trPr>
          <w:trHeight w:val="3375"/>
        </w:trPr>
        <w:tc>
          <w:tcPr>
            <w:tcW w:w="12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1</w:t>
            </w:r>
          </w:p>
        </w:tc>
        <w:tc>
          <w:tcPr>
            <w:tcW w:w="463"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Кювета для лабораторного анализатора</w:t>
            </w:r>
          </w:p>
        </w:tc>
        <w:tc>
          <w:tcPr>
            <w:tcW w:w="29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32.50.50.190</w:t>
            </w:r>
          </w:p>
        </w:tc>
        <w:tc>
          <w:tcPr>
            <w:tcW w:w="384" w:type="pct"/>
            <w:tcBorders>
              <w:top w:val="single" w:sz="4" w:space="0" w:color="auto"/>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Описание</w:t>
            </w:r>
          </w:p>
        </w:tc>
        <w:tc>
          <w:tcPr>
            <w:tcW w:w="766" w:type="pct"/>
            <w:tcBorders>
              <w:top w:val="single" w:sz="4" w:space="0" w:color="auto"/>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Набор кювет реакционных для автоматических анализаторов коагуляции предназначен для помещения биологических образцов (плазмы крови) человека, приготовления реакционной смеси и проведения анализа.</w:t>
            </w:r>
          </w:p>
        </w:tc>
        <w:tc>
          <w:tcPr>
            <w:tcW w:w="373" w:type="pct"/>
            <w:tcBorders>
              <w:top w:val="single" w:sz="4" w:space="0" w:color="auto"/>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 </w:t>
            </w:r>
          </w:p>
        </w:tc>
        <w:tc>
          <w:tcPr>
            <w:tcW w:w="633" w:type="pct"/>
            <w:tcBorders>
              <w:top w:val="single" w:sz="4" w:space="0" w:color="auto"/>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Значение характеристики не может изменяться участником закупки</w:t>
            </w:r>
          </w:p>
        </w:tc>
        <w:tc>
          <w:tcPr>
            <w:tcW w:w="385" w:type="pct"/>
            <w:tcBorders>
              <w:top w:val="single" w:sz="4" w:space="0" w:color="auto"/>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 </w:t>
            </w:r>
          </w:p>
        </w:tc>
        <w:tc>
          <w:tcPr>
            <w:tcW w:w="26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упак</w:t>
            </w:r>
          </w:p>
        </w:tc>
        <w:tc>
          <w:tcPr>
            <w:tcW w:w="28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6</w:t>
            </w:r>
          </w:p>
        </w:tc>
        <w:tc>
          <w:tcPr>
            <w:tcW w:w="344" w:type="pct"/>
            <w:vMerge w:val="restart"/>
            <w:tcBorders>
              <w:top w:val="nil"/>
              <w:left w:val="single" w:sz="4" w:space="0" w:color="auto"/>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Arial" w:eastAsia="Times New Roman" w:hAnsi="Arial" w:cs="Arial"/>
                <w:sz w:val="16"/>
                <w:szCs w:val="16"/>
                <w:lang w:eastAsia="ru-RU"/>
              </w:rPr>
            </w:pPr>
            <w:r w:rsidRPr="006774BB">
              <w:rPr>
                <w:rFonts w:ascii="Arial" w:eastAsia="Times New Roman" w:hAnsi="Arial" w:cs="Arial"/>
                <w:sz w:val="16"/>
                <w:szCs w:val="16"/>
                <w:lang w:eastAsia="ru-RU"/>
              </w:rPr>
              <w:t> </w:t>
            </w:r>
          </w:p>
        </w:tc>
        <w:tc>
          <w:tcPr>
            <w:tcW w:w="233"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6774BB" w:rsidRPr="006774BB" w:rsidRDefault="006774BB" w:rsidP="006774BB">
            <w:pPr>
              <w:spacing w:after="0" w:line="240" w:lineRule="auto"/>
              <w:jc w:val="center"/>
              <w:rPr>
                <w:rFonts w:ascii="Arial" w:eastAsia="Times New Roman" w:hAnsi="Arial" w:cs="Arial"/>
                <w:sz w:val="16"/>
                <w:szCs w:val="16"/>
                <w:lang w:eastAsia="ru-RU"/>
              </w:rPr>
            </w:pPr>
            <w:r w:rsidRPr="006774BB">
              <w:rPr>
                <w:rFonts w:ascii="Arial" w:eastAsia="Times New Roman" w:hAnsi="Arial" w:cs="Arial"/>
                <w:sz w:val="16"/>
                <w:szCs w:val="16"/>
                <w:lang w:eastAsia="ru-RU"/>
              </w:rPr>
              <w:t> </w:t>
            </w:r>
          </w:p>
        </w:tc>
        <w:tc>
          <w:tcPr>
            <w:tcW w:w="230"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6774BB" w:rsidRPr="006774BB" w:rsidRDefault="006774BB" w:rsidP="006774BB">
            <w:pPr>
              <w:spacing w:after="0" w:line="240" w:lineRule="auto"/>
              <w:jc w:val="center"/>
              <w:rPr>
                <w:rFonts w:ascii="Arial" w:eastAsia="Times New Roman" w:hAnsi="Arial" w:cs="Arial"/>
                <w:sz w:val="16"/>
                <w:szCs w:val="16"/>
                <w:lang w:eastAsia="ru-RU"/>
              </w:rPr>
            </w:pPr>
            <w:r w:rsidRPr="006774BB">
              <w:rPr>
                <w:rFonts w:ascii="Arial" w:eastAsia="Times New Roman" w:hAnsi="Arial" w:cs="Arial"/>
                <w:sz w:val="16"/>
                <w:szCs w:val="16"/>
                <w:lang w:eastAsia="ru-RU"/>
              </w:rPr>
              <w:t> </w:t>
            </w:r>
          </w:p>
        </w:tc>
        <w:tc>
          <w:tcPr>
            <w:tcW w:w="232"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6774BB" w:rsidRPr="006774BB" w:rsidRDefault="006774BB" w:rsidP="006774BB">
            <w:pPr>
              <w:spacing w:after="0" w:line="240" w:lineRule="auto"/>
              <w:jc w:val="center"/>
              <w:rPr>
                <w:rFonts w:ascii="Arial" w:eastAsia="Times New Roman" w:hAnsi="Arial" w:cs="Arial"/>
                <w:sz w:val="16"/>
                <w:szCs w:val="16"/>
                <w:lang w:eastAsia="ru-RU"/>
              </w:rPr>
            </w:pPr>
            <w:r w:rsidRPr="006774BB">
              <w:rPr>
                <w:rFonts w:ascii="Arial" w:eastAsia="Times New Roman" w:hAnsi="Arial" w:cs="Arial"/>
                <w:sz w:val="16"/>
                <w:szCs w:val="16"/>
                <w:lang w:eastAsia="ru-RU"/>
              </w:rPr>
              <w:t> </w:t>
            </w:r>
          </w:p>
        </w:tc>
      </w:tr>
      <w:tr w:rsidR="006774BB" w:rsidRPr="006774BB" w:rsidTr="006774BB">
        <w:trPr>
          <w:trHeight w:val="900"/>
        </w:trPr>
        <w:tc>
          <w:tcPr>
            <w:tcW w:w="124"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463"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91"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84"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Назначение</w:t>
            </w:r>
          </w:p>
        </w:tc>
        <w:tc>
          <w:tcPr>
            <w:tcW w:w="766"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Для анализаторов коагуляции серии СХ</w:t>
            </w:r>
          </w:p>
        </w:tc>
        <w:tc>
          <w:tcPr>
            <w:tcW w:w="373"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 </w:t>
            </w:r>
          </w:p>
        </w:tc>
        <w:tc>
          <w:tcPr>
            <w:tcW w:w="633"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Значение характеристики не может изменяться участником закупки</w:t>
            </w:r>
          </w:p>
        </w:tc>
        <w:tc>
          <w:tcPr>
            <w:tcW w:w="385"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 </w:t>
            </w:r>
          </w:p>
        </w:tc>
        <w:tc>
          <w:tcPr>
            <w:tcW w:w="261"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80"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44" w:type="pct"/>
            <w:vMerge/>
            <w:tcBorders>
              <w:top w:val="nil"/>
              <w:left w:val="single" w:sz="4" w:space="0" w:color="auto"/>
              <w:bottom w:val="single" w:sz="4" w:space="0" w:color="auto"/>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3" w:type="pct"/>
            <w:vMerge/>
            <w:tcBorders>
              <w:top w:val="nil"/>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0" w:type="pct"/>
            <w:vMerge/>
            <w:tcBorders>
              <w:top w:val="nil"/>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2" w:type="pct"/>
            <w:vMerge/>
            <w:tcBorders>
              <w:top w:val="nil"/>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r>
      <w:tr w:rsidR="006774BB" w:rsidRPr="006774BB" w:rsidTr="006774BB">
        <w:trPr>
          <w:trHeight w:val="900"/>
        </w:trPr>
        <w:tc>
          <w:tcPr>
            <w:tcW w:w="124"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463"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91"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84"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Материал</w:t>
            </w:r>
          </w:p>
        </w:tc>
        <w:tc>
          <w:tcPr>
            <w:tcW w:w="766"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Полистирол</w:t>
            </w:r>
          </w:p>
        </w:tc>
        <w:tc>
          <w:tcPr>
            <w:tcW w:w="373"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 </w:t>
            </w:r>
          </w:p>
        </w:tc>
        <w:tc>
          <w:tcPr>
            <w:tcW w:w="633"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Значение характеристики не может изменяться участником закупки</w:t>
            </w:r>
          </w:p>
        </w:tc>
        <w:tc>
          <w:tcPr>
            <w:tcW w:w="385"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 </w:t>
            </w:r>
          </w:p>
        </w:tc>
        <w:tc>
          <w:tcPr>
            <w:tcW w:w="261"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80"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44" w:type="pct"/>
            <w:vMerge/>
            <w:tcBorders>
              <w:top w:val="nil"/>
              <w:left w:val="single" w:sz="4" w:space="0" w:color="auto"/>
              <w:bottom w:val="single" w:sz="4" w:space="0" w:color="auto"/>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3" w:type="pct"/>
            <w:vMerge/>
            <w:tcBorders>
              <w:top w:val="nil"/>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0" w:type="pct"/>
            <w:vMerge/>
            <w:tcBorders>
              <w:top w:val="nil"/>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2" w:type="pct"/>
            <w:vMerge/>
            <w:tcBorders>
              <w:top w:val="nil"/>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r>
      <w:tr w:rsidR="006774BB" w:rsidRPr="006774BB" w:rsidTr="006774BB">
        <w:trPr>
          <w:trHeight w:val="900"/>
        </w:trPr>
        <w:tc>
          <w:tcPr>
            <w:tcW w:w="124"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463"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91"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84"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Количество кювет в упаковке</w:t>
            </w:r>
          </w:p>
        </w:tc>
        <w:tc>
          <w:tcPr>
            <w:tcW w:w="766"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≥3000</w:t>
            </w:r>
          </w:p>
        </w:tc>
        <w:tc>
          <w:tcPr>
            <w:tcW w:w="373"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 xml:space="preserve"> шт</w:t>
            </w:r>
          </w:p>
        </w:tc>
        <w:tc>
          <w:tcPr>
            <w:tcW w:w="633"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Участник закупки указывает в заявке конкретное значение характеристики</w:t>
            </w:r>
          </w:p>
        </w:tc>
        <w:tc>
          <w:tcPr>
            <w:tcW w:w="385" w:type="pct"/>
            <w:tcBorders>
              <w:top w:val="nil"/>
              <w:left w:val="nil"/>
              <w:bottom w:val="single" w:sz="4" w:space="0" w:color="auto"/>
              <w:right w:val="single" w:sz="4" w:space="0" w:color="auto"/>
            </w:tcBorders>
            <w:shd w:val="clear" w:color="auto" w:fill="auto"/>
            <w:vAlign w:val="center"/>
            <w:hideMark/>
          </w:tcPr>
          <w:p w:rsidR="006774BB" w:rsidRPr="006774BB" w:rsidRDefault="006774BB" w:rsidP="006774BB">
            <w:pPr>
              <w:spacing w:after="0" w:line="240" w:lineRule="auto"/>
              <w:jc w:val="center"/>
              <w:rPr>
                <w:rFonts w:ascii="Times New Roman" w:eastAsia="Times New Roman" w:hAnsi="Times New Roman" w:cs="Times New Roman"/>
                <w:sz w:val="18"/>
                <w:szCs w:val="18"/>
                <w:lang w:eastAsia="ru-RU"/>
              </w:rPr>
            </w:pPr>
            <w:r w:rsidRPr="006774BB">
              <w:rPr>
                <w:rFonts w:ascii="Times New Roman" w:eastAsia="Times New Roman" w:hAnsi="Times New Roman" w:cs="Times New Roman"/>
                <w:sz w:val="18"/>
                <w:szCs w:val="18"/>
                <w:lang w:eastAsia="ru-RU"/>
              </w:rPr>
              <w:t> </w:t>
            </w:r>
          </w:p>
        </w:tc>
        <w:tc>
          <w:tcPr>
            <w:tcW w:w="261"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280" w:type="pct"/>
            <w:vMerge/>
            <w:tcBorders>
              <w:top w:val="single" w:sz="4" w:space="0" w:color="auto"/>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Times New Roman" w:eastAsia="Times New Roman" w:hAnsi="Times New Roman" w:cs="Times New Roman"/>
                <w:sz w:val="18"/>
                <w:szCs w:val="18"/>
                <w:lang w:eastAsia="ru-RU"/>
              </w:rPr>
            </w:pPr>
          </w:p>
        </w:tc>
        <w:tc>
          <w:tcPr>
            <w:tcW w:w="344" w:type="pct"/>
            <w:vMerge/>
            <w:tcBorders>
              <w:top w:val="nil"/>
              <w:left w:val="single" w:sz="4" w:space="0" w:color="auto"/>
              <w:bottom w:val="single" w:sz="4" w:space="0" w:color="auto"/>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3" w:type="pct"/>
            <w:vMerge/>
            <w:tcBorders>
              <w:top w:val="nil"/>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0" w:type="pct"/>
            <w:vMerge/>
            <w:tcBorders>
              <w:top w:val="nil"/>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c>
          <w:tcPr>
            <w:tcW w:w="232" w:type="pct"/>
            <w:vMerge/>
            <w:tcBorders>
              <w:top w:val="nil"/>
              <w:left w:val="single" w:sz="4" w:space="0" w:color="auto"/>
              <w:bottom w:val="single" w:sz="4" w:space="0" w:color="000000"/>
              <w:right w:val="single" w:sz="4" w:space="0" w:color="auto"/>
            </w:tcBorders>
            <w:vAlign w:val="center"/>
            <w:hideMark/>
          </w:tcPr>
          <w:p w:rsidR="006774BB" w:rsidRPr="006774BB" w:rsidRDefault="006774BB" w:rsidP="006774BB">
            <w:pPr>
              <w:spacing w:after="0" w:line="240" w:lineRule="auto"/>
              <w:rPr>
                <w:rFonts w:ascii="Arial" w:eastAsia="Times New Roman" w:hAnsi="Arial" w:cs="Arial"/>
                <w:sz w:val="16"/>
                <w:szCs w:val="16"/>
                <w:lang w:eastAsia="ru-RU"/>
              </w:rPr>
            </w:pPr>
          </w:p>
        </w:tc>
      </w:tr>
    </w:tbl>
    <w:p w:rsidR="00170252" w:rsidRDefault="00170252" w:rsidP="000820E3">
      <w:pPr>
        <w:rPr>
          <w:rFonts w:ascii="Times New Roman" w:hAnsi="Times New Roman" w:cs="Times New Roman"/>
          <w:b/>
          <w:sz w:val="28"/>
          <w:szCs w:val="28"/>
        </w:rPr>
      </w:pPr>
    </w:p>
    <w:sectPr w:rsidR="00170252" w:rsidSect="006774BB">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702" w:rsidRDefault="007C1702">
      <w:pPr>
        <w:spacing w:after="0" w:line="240" w:lineRule="auto"/>
      </w:pPr>
      <w:r>
        <w:separator/>
      </w:r>
    </w:p>
  </w:endnote>
  <w:endnote w:type="continuationSeparator" w:id="0">
    <w:p w:rsidR="007C1702" w:rsidRDefault="007C1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1513B" w:rsidRDefault="00A1513B">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1513B">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1513B">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1513B">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1513B">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1513B">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774BB">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702" w:rsidRDefault="007C1702">
      <w:pPr>
        <w:spacing w:after="0" w:line="240" w:lineRule="auto"/>
      </w:pPr>
      <w:r>
        <w:separator/>
      </w:r>
    </w:p>
  </w:footnote>
  <w:footnote w:type="continuationSeparator" w:id="0">
    <w:p w:rsidR="007C1702" w:rsidRDefault="007C170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1513B" w:rsidRDefault="00A1513B">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1513B" w:rsidRDefault="00A1513B">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1513B" w:rsidRDefault="00A1513B">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774BB"/>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1702"/>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513B"/>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41660249">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D386E-2BB5-4717-83F6-2E00E91D7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2026-10-16T06:18:00Z</dcterms:created>
  <dcterms:modified xsi:type="dcterms:W3CDTF">2026-10-16T06:18:00Z</dcterms:modified>
</cp:coreProperties>
</file>