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13.02.2020 № 05-07/121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18.02.2020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D184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модульного эндопротеза</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197758, Россия, г. Санкт- Петербург, п. Песочный, ул. Ленинградская, дом 68</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рабочих дней с момента подписания Контратка</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Товара по  Контракту осуществляется Поставщиком одной партией 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Срок годности Товара должен соответствовать сроку, указанному на упаковочной таре</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соответствии со статьями 28 и 29 </w:t>
            </w:r>
            <w:r w:rsidRPr="00450429">
              <w:rPr>
                <w:rFonts w:ascii="Times New Roman" w:hAnsi="Times New Roman" w:cs="Times New Roman"/>
                <w:sz w:val="24"/>
                <w:szCs w:val="26"/>
              </w:rPr>
              <w:lastRenderedPageBreak/>
              <w:t>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536"/>
        <w:gridCol w:w="4517"/>
        <w:gridCol w:w="1443"/>
        <w:gridCol w:w="1266"/>
        <w:gridCol w:w="981"/>
        <w:gridCol w:w="912"/>
        <w:gridCol w:w="1008"/>
        <w:gridCol w:w="1365"/>
        <w:gridCol w:w="1309"/>
      </w:tblGrid>
      <w:tr w:rsidR="006066BF" w:rsidRPr="006066BF" w:rsidTr="004D7940">
        <w:trPr>
          <w:trHeight w:val="729"/>
        </w:trPr>
        <w:tc>
          <w:tcPr>
            <w:tcW w:w="207" w:type="pct"/>
            <w:hideMark/>
          </w:tcPr>
          <w:p w:rsidR="006066BF" w:rsidRPr="006066BF" w:rsidRDefault="006066BF" w:rsidP="006066BF">
            <w:pPr>
              <w:spacing w:after="0"/>
              <w:jc w:val="center"/>
              <w:rPr>
                <w:rFonts w:ascii="Times New Roman" w:eastAsia="Times New Roman" w:hAnsi="Times New Roman" w:cs="Times New Roman"/>
                <w:b/>
                <w:bCs/>
                <w:sz w:val="20"/>
                <w:szCs w:val="20"/>
              </w:rPr>
            </w:pPr>
            <w:r w:rsidRPr="006066BF">
              <w:rPr>
                <w:rFonts w:ascii="Times New Roman" w:eastAsia="Times New Roman" w:hAnsi="Times New Roman" w:cs="Times New Roman"/>
                <w:b/>
                <w:bCs/>
                <w:sz w:val="20"/>
                <w:szCs w:val="20"/>
              </w:rPr>
              <w:t>№</w:t>
            </w:r>
          </w:p>
        </w:tc>
        <w:tc>
          <w:tcPr>
            <w:tcW w:w="810" w:type="pct"/>
            <w:hideMark/>
          </w:tcPr>
          <w:p w:rsidR="006066BF" w:rsidRPr="006066BF" w:rsidRDefault="006066BF" w:rsidP="006066BF">
            <w:pPr>
              <w:spacing w:after="0"/>
              <w:jc w:val="center"/>
              <w:rPr>
                <w:rFonts w:ascii="Times New Roman" w:eastAsia="Times New Roman" w:hAnsi="Times New Roman" w:cs="Times New Roman"/>
                <w:b/>
                <w:bCs/>
                <w:sz w:val="20"/>
                <w:szCs w:val="20"/>
              </w:rPr>
            </w:pPr>
            <w:r w:rsidRPr="006066BF">
              <w:rPr>
                <w:rFonts w:ascii="Times New Roman" w:eastAsia="Times New Roman" w:hAnsi="Times New Roman" w:cs="Times New Roman"/>
                <w:b/>
                <w:bCs/>
                <w:sz w:val="20"/>
                <w:szCs w:val="20"/>
              </w:rPr>
              <w:t>Наименование Товара</w:t>
            </w:r>
          </w:p>
        </w:tc>
        <w:tc>
          <w:tcPr>
            <w:tcW w:w="1431" w:type="pct"/>
            <w:hideMark/>
          </w:tcPr>
          <w:p w:rsidR="006066BF" w:rsidRPr="006066BF" w:rsidRDefault="006066BF" w:rsidP="006066BF">
            <w:pPr>
              <w:spacing w:after="0"/>
              <w:jc w:val="center"/>
              <w:rPr>
                <w:rFonts w:ascii="Times New Roman" w:eastAsia="Times New Roman" w:hAnsi="Times New Roman" w:cs="Times New Roman"/>
                <w:b/>
                <w:bCs/>
                <w:sz w:val="20"/>
                <w:szCs w:val="20"/>
              </w:rPr>
            </w:pPr>
            <w:r w:rsidRPr="006066BF">
              <w:rPr>
                <w:rFonts w:ascii="Times New Roman" w:eastAsia="Times New Roman" w:hAnsi="Times New Roman" w:cs="Times New Roman"/>
                <w:b/>
                <w:bCs/>
                <w:sz w:val="20"/>
                <w:szCs w:val="20"/>
              </w:rPr>
              <w:t>Технические характеристики</w:t>
            </w:r>
          </w:p>
        </w:tc>
        <w:tc>
          <w:tcPr>
            <w:tcW w:w="467" w:type="pct"/>
          </w:tcPr>
          <w:p w:rsidR="006066BF" w:rsidRPr="006066BF" w:rsidRDefault="006066BF" w:rsidP="006066BF">
            <w:pPr>
              <w:spacing w:after="0" w:line="240" w:lineRule="auto"/>
              <w:jc w:val="center"/>
              <w:rPr>
                <w:rFonts w:ascii="Times New Roman" w:eastAsia="Times New Roman" w:hAnsi="Times New Roman" w:cs="Times New Roman"/>
                <w:b/>
                <w:bCs/>
                <w:sz w:val="20"/>
                <w:szCs w:val="20"/>
              </w:rPr>
            </w:pPr>
            <w:r w:rsidRPr="006066BF">
              <w:rPr>
                <w:rFonts w:ascii="Times New Roman" w:eastAsia="Times New Roman" w:hAnsi="Times New Roman" w:cs="Times New Roman"/>
                <w:b/>
                <w:bCs/>
                <w:sz w:val="20"/>
                <w:szCs w:val="20"/>
              </w:rPr>
              <w:t>Страна производства</w:t>
            </w:r>
          </w:p>
        </w:tc>
        <w:tc>
          <w:tcPr>
            <w:tcW w:w="261" w:type="pct"/>
          </w:tcPr>
          <w:p w:rsidR="006066BF" w:rsidRPr="006066BF" w:rsidRDefault="006066BF" w:rsidP="006066BF">
            <w:pPr>
              <w:spacing w:after="0" w:line="240" w:lineRule="auto"/>
              <w:jc w:val="center"/>
              <w:rPr>
                <w:rFonts w:ascii="Times New Roman" w:eastAsia="Times New Roman" w:hAnsi="Times New Roman" w:cs="Times New Roman"/>
                <w:b/>
                <w:bCs/>
                <w:sz w:val="20"/>
                <w:szCs w:val="20"/>
              </w:rPr>
            </w:pPr>
            <w:r w:rsidRPr="006066BF">
              <w:rPr>
                <w:rFonts w:ascii="Times New Roman" w:eastAsia="Times New Roman" w:hAnsi="Times New Roman" w:cs="Times New Roman"/>
                <w:b/>
                <w:bCs/>
                <w:sz w:val="20"/>
                <w:szCs w:val="20"/>
              </w:rPr>
              <w:t>Код ОКПД 2</w:t>
            </w:r>
          </w:p>
        </w:tc>
        <w:tc>
          <w:tcPr>
            <w:tcW w:w="323" w:type="pct"/>
            <w:hideMark/>
          </w:tcPr>
          <w:p w:rsidR="006066BF" w:rsidRPr="006066BF" w:rsidRDefault="006066BF" w:rsidP="006066BF">
            <w:pPr>
              <w:spacing w:after="0" w:line="240" w:lineRule="auto"/>
              <w:jc w:val="center"/>
              <w:rPr>
                <w:rFonts w:ascii="Times New Roman" w:eastAsia="Times New Roman" w:hAnsi="Times New Roman" w:cs="Times New Roman"/>
                <w:b/>
                <w:bCs/>
                <w:sz w:val="20"/>
                <w:szCs w:val="20"/>
              </w:rPr>
            </w:pPr>
            <w:r w:rsidRPr="006066BF">
              <w:rPr>
                <w:rFonts w:ascii="Times New Roman" w:eastAsia="Times New Roman" w:hAnsi="Times New Roman" w:cs="Times New Roman"/>
                <w:b/>
                <w:bCs/>
                <w:sz w:val="20"/>
                <w:szCs w:val="20"/>
              </w:rPr>
              <w:t>Кол-во</w:t>
            </w:r>
          </w:p>
          <w:p w:rsidR="006066BF" w:rsidRPr="006066BF" w:rsidRDefault="006066BF" w:rsidP="006066BF">
            <w:pPr>
              <w:spacing w:after="0" w:line="240" w:lineRule="auto"/>
              <w:jc w:val="center"/>
              <w:rPr>
                <w:rFonts w:ascii="Times New Roman" w:eastAsia="Times New Roman" w:hAnsi="Times New Roman" w:cs="Times New Roman"/>
                <w:b/>
                <w:bCs/>
                <w:sz w:val="20"/>
                <w:szCs w:val="20"/>
              </w:rPr>
            </w:pPr>
          </w:p>
        </w:tc>
        <w:tc>
          <w:tcPr>
            <w:tcW w:w="301" w:type="pct"/>
          </w:tcPr>
          <w:p w:rsidR="006066BF" w:rsidRPr="006066BF" w:rsidRDefault="006066BF" w:rsidP="006066BF">
            <w:pPr>
              <w:spacing w:after="0" w:line="240" w:lineRule="auto"/>
              <w:jc w:val="center"/>
              <w:rPr>
                <w:rFonts w:ascii="Times New Roman" w:eastAsia="Times New Roman" w:hAnsi="Times New Roman" w:cs="Times New Roman"/>
                <w:b/>
                <w:bCs/>
                <w:sz w:val="20"/>
                <w:szCs w:val="20"/>
              </w:rPr>
            </w:pPr>
            <w:r w:rsidRPr="006066BF">
              <w:rPr>
                <w:rFonts w:ascii="Times New Roman" w:eastAsia="Times New Roman" w:hAnsi="Times New Roman" w:cs="Times New Roman"/>
                <w:b/>
                <w:bCs/>
                <w:sz w:val="20"/>
                <w:szCs w:val="20"/>
              </w:rPr>
              <w:t>Ед. изм.</w:t>
            </w:r>
          </w:p>
        </w:tc>
        <w:tc>
          <w:tcPr>
            <w:tcW w:w="331" w:type="pct"/>
            <w:shd w:val="clear" w:color="auto" w:fill="FFFF00"/>
          </w:tcPr>
          <w:p w:rsidR="006066BF" w:rsidRPr="006066BF" w:rsidRDefault="006066BF" w:rsidP="006066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НДС %</w:t>
            </w:r>
          </w:p>
        </w:tc>
        <w:tc>
          <w:tcPr>
            <w:tcW w:w="443" w:type="pct"/>
            <w:shd w:val="clear" w:color="auto" w:fill="FFFF00"/>
          </w:tcPr>
          <w:p w:rsidR="006066BF" w:rsidRPr="006066BF" w:rsidRDefault="006066BF" w:rsidP="006066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Цена за ед. Товара с НДС (руб.)</w:t>
            </w:r>
          </w:p>
        </w:tc>
        <w:tc>
          <w:tcPr>
            <w:tcW w:w="425" w:type="pct"/>
            <w:shd w:val="clear" w:color="auto" w:fill="FFFF00"/>
          </w:tcPr>
          <w:p w:rsidR="006066BF" w:rsidRPr="006066BF" w:rsidRDefault="006066BF" w:rsidP="006066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 xml:space="preserve">Сумма с </w:t>
            </w:r>
          </w:p>
          <w:p w:rsidR="006066BF" w:rsidRPr="006066BF" w:rsidRDefault="006066BF" w:rsidP="006066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НДС (руб.)</w:t>
            </w:r>
          </w:p>
        </w:tc>
      </w:tr>
      <w:tr w:rsidR="006066BF" w:rsidRPr="006066BF" w:rsidTr="004D7940">
        <w:trPr>
          <w:trHeight w:val="1687"/>
        </w:trPr>
        <w:tc>
          <w:tcPr>
            <w:tcW w:w="207" w:type="pct"/>
          </w:tcPr>
          <w:p w:rsidR="006066BF" w:rsidRPr="006066BF" w:rsidRDefault="006066BF" w:rsidP="006066BF">
            <w:pPr>
              <w:spacing w:after="0"/>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1</w:t>
            </w:r>
          </w:p>
        </w:tc>
        <w:tc>
          <w:tcPr>
            <w:tcW w:w="810"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 xml:space="preserve">Сетка для функциональной реконструкции </w:t>
            </w:r>
            <w:r w:rsidRPr="006066BF">
              <w:rPr>
                <w:rFonts w:ascii="Times New Roman" w:eastAsia="Times New Roman" w:hAnsi="Times New Roman" w:cs="Times New Roman"/>
                <w:b/>
                <w:sz w:val="20"/>
                <w:szCs w:val="20"/>
                <w:lang w:val="en-US"/>
              </w:rPr>
              <w:t>LARS</w:t>
            </w:r>
          </w:p>
        </w:tc>
        <w:tc>
          <w:tcPr>
            <w:tcW w:w="1431" w:type="pct"/>
            <w:shd w:val="clear" w:color="FFFFFF" w:fill="auto"/>
            <w:vAlign w:val="center"/>
          </w:tcPr>
          <w:p w:rsidR="006066BF" w:rsidRPr="006066BF" w:rsidRDefault="006066BF" w:rsidP="006066BF">
            <w:pPr>
              <w:spacing w:line="240" w:lineRule="auto"/>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Стерильная, биосовместимая и биоинтегрируемая, изготовлена из полиэтилентерефталата в виде трубки, из не плетённых продольных полиэфирных волокон, которые связаны друг с другом на молекулярном уровне, с размером ячейки 200µm, имеет размер - 60 х 400мм. используется для закрепления мягких тканей и сухожилий, для уменьшения объёма выпота. Максимальная величина удлинения составляет не более 7% от его первоначальной длины после 10 000 000 циклов движения. Минимальная нагрузка пучка на разрыв - 4000 Ньютонов</w:t>
            </w:r>
          </w:p>
        </w:tc>
        <w:tc>
          <w:tcPr>
            <w:tcW w:w="467" w:type="pct"/>
          </w:tcPr>
          <w:p w:rsidR="006066BF" w:rsidRPr="006066BF" w:rsidRDefault="006066BF" w:rsidP="006066BF">
            <w:pPr>
              <w:spacing w:after="0" w:line="240" w:lineRule="exact"/>
              <w:jc w:val="center"/>
              <w:rPr>
                <w:rFonts w:ascii="Times New Roman" w:eastAsia="Times New Roman" w:hAnsi="Times New Roman" w:cs="Times New Roman"/>
                <w:sz w:val="20"/>
                <w:szCs w:val="20"/>
              </w:rPr>
            </w:pPr>
          </w:p>
        </w:tc>
        <w:tc>
          <w:tcPr>
            <w:tcW w:w="261"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32.50.22.110</w:t>
            </w:r>
          </w:p>
        </w:tc>
        <w:tc>
          <w:tcPr>
            <w:tcW w:w="323"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1</w:t>
            </w:r>
          </w:p>
        </w:tc>
        <w:tc>
          <w:tcPr>
            <w:tcW w:w="301" w:type="pct"/>
          </w:tcPr>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6066BF" w:rsidRPr="006066BF" w:rsidRDefault="00C50993" w:rsidP="006066BF">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шт</w:t>
            </w:r>
          </w:p>
        </w:tc>
        <w:tc>
          <w:tcPr>
            <w:tcW w:w="331"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43"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25"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r w:rsidR="006066BF" w:rsidRPr="006066BF" w:rsidTr="004D7940">
        <w:trPr>
          <w:trHeight w:val="1127"/>
        </w:trPr>
        <w:tc>
          <w:tcPr>
            <w:tcW w:w="207" w:type="pct"/>
          </w:tcPr>
          <w:p w:rsidR="006066BF" w:rsidRPr="006066BF" w:rsidRDefault="006066BF" w:rsidP="006066BF">
            <w:pPr>
              <w:spacing w:after="0"/>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2</w:t>
            </w:r>
          </w:p>
        </w:tc>
        <w:tc>
          <w:tcPr>
            <w:tcW w:w="810"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Цемент костный с гентамицином</w:t>
            </w:r>
          </w:p>
          <w:p w:rsidR="006066BF" w:rsidRPr="006066BF" w:rsidRDefault="006066BF" w:rsidP="006066BF">
            <w:pPr>
              <w:spacing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lang w:val="en-US"/>
              </w:rPr>
              <w:t>Synicem</w:t>
            </w:r>
            <w:r w:rsidRPr="006066BF">
              <w:rPr>
                <w:rFonts w:ascii="Times New Roman" w:eastAsia="Times New Roman" w:hAnsi="Times New Roman" w:cs="Times New Roman"/>
                <w:b/>
                <w:sz w:val="20"/>
                <w:szCs w:val="20"/>
              </w:rPr>
              <w:t xml:space="preserve"> 1</w:t>
            </w:r>
            <w:r w:rsidRPr="006066BF">
              <w:rPr>
                <w:rFonts w:ascii="Times New Roman" w:eastAsia="Times New Roman" w:hAnsi="Times New Roman" w:cs="Times New Roman"/>
                <w:b/>
                <w:sz w:val="20"/>
                <w:szCs w:val="20"/>
                <w:lang w:val="en-US"/>
              </w:rPr>
              <w:t>G</w:t>
            </w:r>
          </w:p>
        </w:tc>
        <w:tc>
          <w:tcPr>
            <w:tcW w:w="1431" w:type="pct"/>
            <w:shd w:val="clear" w:color="FFFFFF" w:fill="auto"/>
            <w:vAlign w:val="center"/>
          </w:tcPr>
          <w:p w:rsidR="006066BF" w:rsidRPr="006066BF" w:rsidRDefault="006066BF" w:rsidP="006066BF">
            <w:pPr>
              <w:spacing w:line="240" w:lineRule="auto"/>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состоит из порошковой и жидкой частей; порошковая часть состоит из полиметилметакрилата, перекиси бензоила, циркония диоксида; жидкая часть состоит из метилметакрилата, N, N – диметил-пара-толуидина хлорофилла VIII, гидрохинона; соотношение жидкой части к порошковой - 1:2; рентгеноконтрастным веществом является диоксид циркония; содержание рентгеноконтрастного вещества - 15 %; вязкость высокая; дозировка - 40 г; фаза смешивания - 30 с; фаза ожидания - 90 с; фаза рабочего времени - 210 с; фаза затвердевания - 390 с</w:t>
            </w:r>
          </w:p>
        </w:tc>
        <w:tc>
          <w:tcPr>
            <w:tcW w:w="467" w:type="pct"/>
          </w:tcPr>
          <w:p w:rsidR="006066BF" w:rsidRPr="006066BF" w:rsidRDefault="006066BF" w:rsidP="006066BF">
            <w:pPr>
              <w:spacing w:after="0" w:line="240" w:lineRule="exact"/>
              <w:jc w:val="center"/>
              <w:rPr>
                <w:rFonts w:ascii="Times New Roman" w:eastAsia="Times New Roman" w:hAnsi="Times New Roman" w:cs="Times New Roman"/>
                <w:sz w:val="20"/>
                <w:szCs w:val="20"/>
              </w:rPr>
            </w:pPr>
          </w:p>
        </w:tc>
        <w:tc>
          <w:tcPr>
            <w:tcW w:w="261"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23.51.12.190</w:t>
            </w:r>
          </w:p>
        </w:tc>
        <w:tc>
          <w:tcPr>
            <w:tcW w:w="323"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2</w:t>
            </w:r>
          </w:p>
        </w:tc>
        <w:tc>
          <w:tcPr>
            <w:tcW w:w="301" w:type="pct"/>
          </w:tcPr>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6066BF" w:rsidRPr="006066BF" w:rsidRDefault="00C50993" w:rsidP="006066BF">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w:t>
            </w:r>
          </w:p>
        </w:tc>
        <w:tc>
          <w:tcPr>
            <w:tcW w:w="331"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43"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25"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r w:rsidR="006066BF" w:rsidRPr="006066BF" w:rsidTr="004D7940">
        <w:trPr>
          <w:trHeight w:val="1127"/>
        </w:trPr>
        <w:tc>
          <w:tcPr>
            <w:tcW w:w="207" w:type="pct"/>
          </w:tcPr>
          <w:p w:rsidR="006066BF" w:rsidRPr="006066BF" w:rsidRDefault="006066BF" w:rsidP="006066BF">
            <w:pPr>
              <w:spacing w:after="0"/>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3</w:t>
            </w:r>
          </w:p>
        </w:tc>
        <w:tc>
          <w:tcPr>
            <w:tcW w:w="810"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Цемент костный с гентамицином</w:t>
            </w:r>
          </w:p>
          <w:p w:rsidR="006066BF" w:rsidRPr="006066BF" w:rsidRDefault="006066BF" w:rsidP="006066BF">
            <w:pPr>
              <w:spacing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lang w:val="en-US"/>
              </w:rPr>
              <w:t>Synicem</w:t>
            </w:r>
            <w:r w:rsidRPr="006066BF">
              <w:rPr>
                <w:rFonts w:ascii="Times New Roman" w:eastAsia="Times New Roman" w:hAnsi="Times New Roman" w:cs="Times New Roman"/>
                <w:b/>
                <w:sz w:val="20"/>
                <w:szCs w:val="20"/>
              </w:rPr>
              <w:t xml:space="preserve"> 3</w:t>
            </w:r>
            <w:r w:rsidRPr="006066BF">
              <w:rPr>
                <w:rFonts w:ascii="Times New Roman" w:eastAsia="Times New Roman" w:hAnsi="Times New Roman" w:cs="Times New Roman"/>
                <w:b/>
                <w:sz w:val="20"/>
                <w:szCs w:val="20"/>
                <w:lang w:val="en-US"/>
              </w:rPr>
              <w:t>G</w:t>
            </w:r>
          </w:p>
        </w:tc>
        <w:tc>
          <w:tcPr>
            <w:tcW w:w="1431" w:type="pct"/>
            <w:shd w:val="clear" w:color="FFFFFF" w:fill="auto"/>
            <w:vAlign w:val="center"/>
          </w:tcPr>
          <w:p w:rsidR="006066BF" w:rsidRPr="006066BF" w:rsidRDefault="006066BF" w:rsidP="006066BF">
            <w:pPr>
              <w:spacing w:line="240" w:lineRule="auto"/>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состоит из порошковой и жидкой частей; порошковая часть состоит из полиметилметакрилата, перекиси бензоила, циркония диоксида; жидкая часть состоит из метилметакрилата, N, N – диметил-пара-толуидина хлорофилла VIII, гидрохинона; соотношение жидкой части к порошковой - 1:2; рентгеноконтрастным веществом является диоксид циркония; содержание рентгеноконтрастного вещества - 15 %; вязкость высокая; дозировка - 60 г; фаза смешивания - 30 с; фаза ожидания - 90 с; фаза рабочего времени - 210 с; фаза затвердевания - 390 с</w:t>
            </w:r>
          </w:p>
        </w:tc>
        <w:tc>
          <w:tcPr>
            <w:tcW w:w="467" w:type="pct"/>
          </w:tcPr>
          <w:p w:rsidR="006066BF" w:rsidRPr="006066BF" w:rsidRDefault="006066BF" w:rsidP="006066BF">
            <w:pPr>
              <w:spacing w:after="0" w:line="240" w:lineRule="exact"/>
              <w:jc w:val="center"/>
              <w:rPr>
                <w:rFonts w:ascii="Times New Roman" w:eastAsia="Times New Roman" w:hAnsi="Times New Roman" w:cs="Times New Roman"/>
                <w:sz w:val="20"/>
                <w:szCs w:val="20"/>
              </w:rPr>
            </w:pPr>
          </w:p>
        </w:tc>
        <w:tc>
          <w:tcPr>
            <w:tcW w:w="261"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23.51.12.190</w:t>
            </w:r>
          </w:p>
        </w:tc>
        <w:tc>
          <w:tcPr>
            <w:tcW w:w="323"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2</w:t>
            </w:r>
          </w:p>
        </w:tc>
        <w:tc>
          <w:tcPr>
            <w:tcW w:w="301" w:type="pct"/>
          </w:tcPr>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C50993">
            <w:pPr>
              <w:spacing w:after="0" w:line="240" w:lineRule="exact"/>
              <w:rPr>
                <w:rFonts w:ascii="Times New Roman" w:eastAsia="Times New Roman" w:hAnsi="Times New Roman" w:cs="Times New Roman"/>
                <w:sz w:val="20"/>
                <w:szCs w:val="20"/>
              </w:rPr>
            </w:pPr>
          </w:p>
          <w:p w:rsidR="006066BF" w:rsidRPr="006066BF" w:rsidRDefault="00C50993" w:rsidP="00C50993">
            <w:pPr>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w:t>
            </w:r>
          </w:p>
        </w:tc>
        <w:tc>
          <w:tcPr>
            <w:tcW w:w="331"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43"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25"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r w:rsidR="006066BF" w:rsidRPr="006066BF" w:rsidTr="004D7940">
        <w:trPr>
          <w:trHeight w:val="1127"/>
        </w:trPr>
        <w:tc>
          <w:tcPr>
            <w:tcW w:w="207" w:type="pct"/>
          </w:tcPr>
          <w:p w:rsidR="006066BF" w:rsidRPr="006066BF" w:rsidRDefault="006066BF" w:rsidP="006066BF">
            <w:pPr>
              <w:spacing w:after="0"/>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4</w:t>
            </w:r>
          </w:p>
        </w:tc>
        <w:tc>
          <w:tcPr>
            <w:tcW w:w="810"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b/>
                <w:sz w:val="20"/>
                <w:szCs w:val="20"/>
              </w:rPr>
            </w:pPr>
            <w:r w:rsidRPr="006066BF">
              <w:rPr>
                <w:rFonts w:ascii="Times New Roman" w:eastAsia="Times New Roman" w:hAnsi="Times New Roman" w:cs="Times New Roman"/>
                <w:b/>
                <w:sz w:val="20"/>
                <w:szCs w:val="20"/>
              </w:rPr>
              <w:t xml:space="preserve">Штифт интрамедуллярный плечевой универсальный </w:t>
            </w:r>
            <w:r w:rsidRPr="006066BF">
              <w:rPr>
                <w:rFonts w:ascii="Times New Roman" w:eastAsia="Times New Roman" w:hAnsi="Times New Roman" w:cs="Times New Roman"/>
                <w:b/>
                <w:sz w:val="20"/>
                <w:szCs w:val="20"/>
                <w:lang w:val="en-US"/>
              </w:rPr>
              <w:t>Versanail</w:t>
            </w:r>
          </w:p>
        </w:tc>
        <w:tc>
          <w:tcPr>
            <w:tcW w:w="1431" w:type="pct"/>
            <w:shd w:val="clear" w:color="FFFFFF" w:fill="auto"/>
            <w:vAlign w:val="center"/>
          </w:tcPr>
          <w:p w:rsidR="006066BF" w:rsidRPr="006066BF" w:rsidRDefault="006066BF" w:rsidP="006066BF">
            <w:pPr>
              <w:spacing w:line="240" w:lineRule="auto"/>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Интрамедуллярный гвоздь для блокируемого остеосинтеза при переломах диафиза плечевой кости. Система применятся при простых и сложных переломах средней трети плечевой кости, в том числе при диафизарных переломах, сочетающихся с переломов хирургической шейки плеча. Гвоздь универсален для правой и левой стороны, подходит для антеградного и ретроградного введения. Гвоздь канюлированный, имеет пулевидный кончик, диаметр канала 3 мм. Форма анатомическая, диаметр в проксимальной части больше диаметра дистальной части, точка введения при антеградной технике – головка плечевой кости в точке на 1-1,5 мм выше желобка двуглавой мышцы, при ретроградной технике – точка на задней поверхности плеча под сухожилием трицепса на границе начала диафиза и ямки олекранона. Установка осуществляется как с рассверливанием костномозгового канала гибкими римерами, так и без. Материал изготовления – титановый сплав TAV (титан-алюминий-ванадий) с обработкой поверхности анодированием второго типа.. Размерный ряд имплантатов соответствует  антропометрическим характеристикам человека: диаметр гвоздя в проксимальном отделе фиксирован и составляет 9,2 мм, диаметр в дистальном отделе имеет 3 варианта: 7, 8 и 9 мм. Длина гвоздя находится в диапазоне 200-300 мм с шагом 20 мм. Анатомически гвоздь имеет следующие особенности: проксимальный латеральный изгиб 2,5 градуса от оси, дистальный латеральный изгиб 4 градуса от оси гвоздя. Конструктивно в проксимальном отделе гвоздь допускает установку трех винтов в поперечном направлении и одного винта в косом (под углом 45 градусов) направлении, диаметр винтов 4,5 и 4,8 мм для всего размерного ряда. Уровни расположения поперечных винтов от верхнего края гвоздя 13,5 мм, 25,5 мм и 51,5 мм соответственно. В дистальном отделе гвоздь блокируется винтами  диаметром 3,5 или 4,5 мм  в зависимости от диаметра гвоздя. Два винта устанавливаются в передне-заднем направлении статично, один винт – в латеро-медиальном направлении динамично. Стерильная упаковка.</w:t>
            </w:r>
          </w:p>
        </w:tc>
        <w:tc>
          <w:tcPr>
            <w:tcW w:w="467" w:type="pct"/>
          </w:tcPr>
          <w:p w:rsidR="006066BF" w:rsidRPr="006066BF" w:rsidRDefault="006066BF" w:rsidP="006066BF">
            <w:pPr>
              <w:spacing w:after="0" w:line="240" w:lineRule="exact"/>
              <w:jc w:val="center"/>
              <w:rPr>
                <w:rFonts w:ascii="Times New Roman" w:eastAsia="Times New Roman" w:hAnsi="Times New Roman" w:cs="Times New Roman"/>
                <w:sz w:val="20"/>
                <w:szCs w:val="20"/>
              </w:rPr>
            </w:pPr>
          </w:p>
        </w:tc>
        <w:tc>
          <w:tcPr>
            <w:tcW w:w="261"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32.50.22.110</w:t>
            </w:r>
          </w:p>
        </w:tc>
        <w:tc>
          <w:tcPr>
            <w:tcW w:w="323" w:type="pct"/>
            <w:shd w:val="clear" w:color="FFFFFF" w:fill="auto"/>
            <w:vAlign w:val="center"/>
          </w:tcPr>
          <w:p w:rsidR="006066BF" w:rsidRPr="006066BF" w:rsidRDefault="006066BF" w:rsidP="006066BF">
            <w:pPr>
              <w:spacing w:line="240" w:lineRule="auto"/>
              <w:jc w:val="center"/>
              <w:rPr>
                <w:rFonts w:ascii="Times New Roman" w:eastAsia="Times New Roman" w:hAnsi="Times New Roman" w:cs="Times New Roman"/>
                <w:sz w:val="20"/>
                <w:szCs w:val="20"/>
              </w:rPr>
            </w:pPr>
            <w:r w:rsidRPr="006066BF">
              <w:rPr>
                <w:rFonts w:ascii="Times New Roman" w:eastAsia="Times New Roman" w:hAnsi="Times New Roman" w:cs="Times New Roman"/>
                <w:sz w:val="20"/>
                <w:szCs w:val="20"/>
              </w:rPr>
              <w:t>1</w:t>
            </w:r>
          </w:p>
        </w:tc>
        <w:tc>
          <w:tcPr>
            <w:tcW w:w="301" w:type="pct"/>
          </w:tcPr>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C50993" w:rsidRDefault="00C50993" w:rsidP="006066BF">
            <w:pPr>
              <w:spacing w:after="0" w:line="240" w:lineRule="exact"/>
              <w:jc w:val="center"/>
              <w:rPr>
                <w:rFonts w:ascii="Times New Roman" w:eastAsia="Times New Roman" w:hAnsi="Times New Roman" w:cs="Times New Roman"/>
                <w:sz w:val="20"/>
                <w:szCs w:val="20"/>
              </w:rPr>
            </w:pPr>
          </w:p>
          <w:p w:rsidR="006066BF" w:rsidRPr="006066BF" w:rsidRDefault="00C50993" w:rsidP="00C50993">
            <w:pPr>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w:t>
            </w:r>
          </w:p>
        </w:tc>
        <w:tc>
          <w:tcPr>
            <w:tcW w:w="331"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43"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25" w:type="pct"/>
            <w:shd w:val="clear" w:color="auto" w:fill="FFFF00"/>
          </w:tcPr>
          <w:p w:rsidR="006066BF" w:rsidRPr="006066BF" w:rsidRDefault="006066BF" w:rsidP="006066BF">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bl>
    <w:p w:rsidR="00170252" w:rsidRDefault="00170252" w:rsidP="000820E3">
      <w:pPr>
        <w:rPr>
          <w:rFonts w:ascii="Times New Roman" w:hAnsi="Times New Roman" w:cs="Times New Roman"/>
          <w:b/>
          <w:sz w:val="28"/>
          <w:szCs w:val="28"/>
        </w:rPr>
      </w:pPr>
    </w:p>
    <w:sectPr w:rsidR="00170252" w:rsidSect="006066BF">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95" w:rsidRDefault="00D33595">
      <w:pPr>
        <w:spacing w:after="0" w:line="240" w:lineRule="auto"/>
      </w:pPr>
      <w:r>
        <w:separator/>
      </w:r>
    </w:p>
  </w:endnote>
  <w:endnote w:type="continuationSeparator" w:id="0">
    <w:p w:rsidR="00D33595" w:rsidRDefault="00D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D184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D184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D184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D184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D184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5099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95" w:rsidRDefault="00D33595">
      <w:pPr>
        <w:spacing w:after="0" w:line="240" w:lineRule="auto"/>
      </w:pPr>
      <w:r>
        <w:separator/>
      </w:r>
    </w:p>
  </w:footnote>
  <w:footnote w:type="continuationSeparator" w:id="0">
    <w:p w:rsidR="00D33595" w:rsidRDefault="00D3359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66B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1848"/>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1CB"/>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0993"/>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3595"/>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7826-D517-4D9C-9206-16199DD0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2020-02-13T05:36:00Z</dcterms:created>
  <dcterms:modified xsi:type="dcterms:W3CDTF">2020-02-13T05:36:00Z</dcterms:modified>
</cp:coreProperties>
</file>