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05-07/675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F62B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4-х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16"/>
        <w:gridCol w:w="1102"/>
        <w:gridCol w:w="2387"/>
        <w:gridCol w:w="2506"/>
        <w:gridCol w:w="1459"/>
        <w:gridCol w:w="1352"/>
        <w:gridCol w:w="667"/>
        <w:gridCol w:w="574"/>
        <w:gridCol w:w="1402"/>
        <w:gridCol w:w="778"/>
        <w:gridCol w:w="604"/>
        <w:gridCol w:w="737"/>
      </w:tblGrid>
      <w:tr w:rsidR="00667B46" w:rsidRPr="00667B46" w:rsidTr="00667B46">
        <w:trPr>
          <w:trHeight w:val="499"/>
        </w:trPr>
        <w:tc>
          <w:tcPr>
            <w:tcW w:w="45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 п/п</w:t>
            </w:r>
          </w:p>
        </w:tc>
        <w:tc>
          <w:tcPr>
            <w:tcW w:w="181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Наименование товара</w:t>
            </w:r>
          </w:p>
        </w:tc>
        <w:tc>
          <w:tcPr>
            <w:tcW w:w="110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ОКПД2/ КТРУ/ ККН</w:t>
            </w: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Наименование характеристики</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Значение характеристики</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Ед. изм. характеристики</w:t>
            </w:r>
          </w:p>
        </w:tc>
        <w:tc>
          <w:tcPr>
            <w:tcW w:w="1352" w:type="dxa"/>
            <w:shd w:val="clear" w:color="auto" w:fill="auto"/>
            <w:vAlign w:val="center"/>
            <w:hideMark/>
          </w:tcPr>
          <w:p w:rsidR="00667B46" w:rsidRPr="00667B46" w:rsidRDefault="007A07F5"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Инструкция</w:t>
            </w:r>
            <w:r w:rsidR="00667B46" w:rsidRPr="00667B46">
              <w:rPr>
                <w:rFonts w:ascii="Times New Roman" w:eastAsia="Times New Roman" w:hAnsi="Times New Roman" w:cs="Times New Roman"/>
                <w:b/>
                <w:bCs/>
                <w:color w:val="000000"/>
                <w:sz w:val="20"/>
                <w:szCs w:val="20"/>
                <w:lang w:eastAsia="ru-RU"/>
              </w:rPr>
              <w:t xml:space="preserve"> по заполнению</w:t>
            </w:r>
          </w:p>
        </w:tc>
        <w:tc>
          <w:tcPr>
            <w:tcW w:w="66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Ед. изм.</w:t>
            </w:r>
          </w:p>
        </w:tc>
        <w:tc>
          <w:tcPr>
            <w:tcW w:w="574"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Кол-во</w:t>
            </w:r>
          </w:p>
        </w:tc>
        <w:tc>
          <w:tcPr>
            <w:tcW w:w="140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Страна происхождения товара</w:t>
            </w:r>
          </w:p>
        </w:tc>
        <w:tc>
          <w:tcPr>
            <w:tcW w:w="778"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Ставка НДС%</w:t>
            </w:r>
          </w:p>
        </w:tc>
        <w:tc>
          <w:tcPr>
            <w:tcW w:w="604"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Цена за ед. без НДС</w:t>
            </w:r>
          </w:p>
        </w:tc>
        <w:tc>
          <w:tcPr>
            <w:tcW w:w="73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Сумма без НДС</w:t>
            </w:r>
          </w:p>
        </w:tc>
      </w:tr>
      <w:tr w:rsidR="00667B46" w:rsidRPr="00667B46" w:rsidTr="006D5DD1">
        <w:trPr>
          <w:trHeight w:val="2300"/>
        </w:trPr>
        <w:tc>
          <w:tcPr>
            <w:tcW w:w="457" w:type="dxa"/>
            <w:vMerge w:val="restart"/>
            <w:shd w:val="clear" w:color="auto" w:fill="auto"/>
            <w:vAlign w:val="center"/>
            <w:hideMark/>
          </w:tcPr>
          <w:p w:rsidR="00667B46" w:rsidRPr="00667B46" w:rsidRDefault="00667B46" w:rsidP="00667B46">
            <w:pPr>
              <w:spacing w:after="0" w:line="240" w:lineRule="auto"/>
              <w:jc w:val="right"/>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1</w:t>
            </w:r>
          </w:p>
        </w:tc>
        <w:tc>
          <w:tcPr>
            <w:tcW w:w="1816"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Набор реагентов для количественного определения прокальцитонина (PCT)</w:t>
            </w:r>
          </w:p>
        </w:tc>
        <w:tc>
          <w:tcPr>
            <w:tcW w:w="11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21.20.23.110</w:t>
            </w: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Назначение</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bCs/>
                <w:color w:val="000000"/>
                <w:sz w:val="20"/>
                <w:szCs w:val="20"/>
                <w:lang w:eastAsia="ru-RU"/>
              </w:rPr>
              <w:t>Для количественного определения прокальцитонина электрохемилюминесцентным методом в сыворотке или плазме крови человека на анализаторах ECL для диагностики in vitro.</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Упак.</w:t>
            </w:r>
          </w:p>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57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4</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Calibri" w:eastAsia="Times New Roman" w:hAnsi="Calibri" w:cs="Times New Roman"/>
                <w:color w:val="000000"/>
                <w:lang w:eastAsia="ru-RU"/>
              </w:rPr>
              <w:t> </w:t>
            </w:r>
          </w:p>
        </w:tc>
        <w:tc>
          <w:tcPr>
            <w:tcW w:w="14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78"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0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3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Состав:</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Кассета с реагентами – не менее - 1 шт.;</w:t>
            </w:r>
          </w:p>
        </w:tc>
        <w:tc>
          <w:tcPr>
            <w:tcW w:w="1459"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Калибратор (низкий уровень) – не менее - 1шт., объем не менее - 4,0 мл;</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Калибратор (высокий уровень) – не менее - 1шт., объем не менее - 4,0 мл;</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Материал контрольный (низкий уровень) – не менее - 1шт., объем не менее - 4,0 мл;</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Материал контрольный (высокий уровень) – не менее - 1шт., объем не менее - 4,0 мл;</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Этикетки для запечатывания флаконов – не менее - 1 шт.;</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Этикетка результатов значений материалов контрольных – не менее - 1 шт.;</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Инструкция по применению - не менее -  1 шт.</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Количество тестов в кассете с реагентами - не менее - 100 тестов</w:t>
            </w:r>
          </w:p>
        </w:tc>
        <w:tc>
          <w:tcPr>
            <w:tcW w:w="1459"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vMerge/>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Стабильность вскрытого реагента</w:t>
            </w:r>
            <w:r w:rsidRPr="00667B46">
              <w:rPr>
                <w:rFonts w:ascii="Times New Roman" w:eastAsia="Times New Roman" w:hAnsi="Times New Roman" w:cs="Times New Roman"/>
                <w:color w:val="000000"/>
                <w:sz w:val="20"/>
                <w:szCs w:val="20"/>
                <w:lang w:eastAsia="ru-RU"/>
              </w:rPr>
              <w:t xml:space="preserve"> </w:t>
            </w:r>
            <w:r w:rsidRPr="00667B46">
              <w:rPr>
                <w:rFonts w:ascii="Times New Roman" w:eastAsia="Times New Roman" w:hAnsi="Times New Roman" w:cs="Times New Roman"/>
                <w:b/>
                <w:bCs/>
                <w:color w:val="000000"/>
                <w:sz w:val="20"/>
                <w:szCs w:val="20"/>
                <w:lang w:eastAsia="ru-RU"/>
              </w:rPr>
              <w:t>при температуре от 2</w:t>
            </w:r>
            <w:r w:rsidRPr="00667B46">
              <w:rPr>
                <w:rFonts w:ascii="Times New Roman" w:eastAsia="Times New Roman" w:hAnsi="Times New Roman" w:cs="Times New Roman"/>
                <w:b/>
                <w:bCs/>
                <w:color w:val="000000"/>
                <w:sz w:val="20"/>
                <w:szCs w:val="20"/>
                <w:vertAlign w:val="superscript"/>
                <w:lang w:eastAsia="ru-RU"/>
              </w:rPr>
              <w:t>о</w:t>
            </w:r>
            <w:r w:rsidRPr="00667B46">
              <w:rPr>
                <w:rFonts w:ascii="Times New Roman" w:eastAsia="Times New Roman" w:hAnsi="Times New Roman" w:cs="Times New Roman"/>
                <w:b/>
                <w:bCs/>
                <w:color w:val="000000"/>
                <w:sz w:val="20"/>
                <w:szCs w:val="20"/>
                <w:lang w:eastAsia="ru-RU"/>
              </w:rPr>
              <w:t xml:space="preserve"> до 8</w:t>
            </w:r>
            <w:r w:rsidRPr="00667B46">
              <w:rPr>
                <w:rFonts w:ascii="Times New Roman" w:eastAsia="Times New Roman" w:hAnsi="Times New Roman" w:cs="Times New Roman"/>
                <w:b/>
                <w:bCs/>
                <w:color w:val="000000"/>
                <w:sz w:val="20"/>
                <w:szCs w:val="20"/>
                <w:vertAlign w:val="superscript"/>
                <w:lang w:eastAsia="ru-RU"/>
              </w:rPr>
              <w:t>о</w:t>
            </w:r>
            <w:r w:rsidRPr="00667B46">
              <w:rPr>
                <w:rFonts w:ascii="Times New Roman" w:eastAsia="Times New Roman" w:hAnsi="Times New Roman" w:cs="Times New Roman"/>
                <w:b/>
                <w:bCs/>
                <w:color w:val="000000"/>
                <w:sz w:val="20"/>
                <w:szCs w:val="20"/>
                <w:lang w:eastAsia="ru-RU"/>
              </w:rPr>
              <w:t>С</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xml:space="preserve">не менее 28 </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дней</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xml:space="preserve"> Характеристики обусловлены имеющимся у заказчика оборудованием, автоматическом электрохемилюминесцентном анализаторе Lifotronic eCL8000</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соответствие</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shd w:val="clear" w:color="auto" w:fill="auto"/>
            <w:hideMark/>
          </w:tcPr>
          <w:p w:rsidR="00667B46" w:rsidRPr="00667B46" w:rsidRDefault="00667B46" w:rsidP="00667B46">
            <w:pPr>
              <w:spacing w:after="0" w:line="240" w:lineRule="auto"/>
              <w:rPr>
                <w:rFonts w:ascii="Calibri" w:eastAsia="Times New Roman" w:hAnsi="Calibri" w:cs="Times New Roman"/>
                <w:color w:val="00000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301C70">
        <w:trPr>
          <w:trHeight w:val="3028"/>
        </w:trPr>
        <w:tc>
          <w:tcPr>
            <w:tcW w:w="45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jc w:val="right"/>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w:t>
            </w:r>
          </w:p>
        </w:tc>
        <w:tc>
          <w:tcPr>
            <w:tcW w:w="1816"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Набор реагентов для количественного определения антимюллерова гормона (Anti-Mullerian Hormone (eCLIA)/AMH)</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Calibri" w:eastAsia="Times New Roman" w:hAnsi="Calibri" w:cs="Times New Roman"/>
                <w:color w:val="000000"/>
                <w:lang w:eastAsia="ru-RU"/>
              </w:rPr>
            </w:pPr>
            <w:r w:rsidRPr="00667B46">
              <w:rPr>
                <w:rFonts w:ascii="Calibri" w:eastAsia="Times New Roman" w:hAnsi="Calibri" w:cs="Times New Roman"/>
                <w:color w:val="000000"/>
                <w:lang w:eastAsia="ru-RU"/>
              </w:rPr>
              <w:t> </w:t>
            </w:r>
          </w:p>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102"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21.20.23.110</w:t>
            </w: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Назначение</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Изделие предназначено для количественного определения антимюллерова</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гормона электрохемилюминесцентным методом в сыворотке или плазме крови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человека на анализаторах ECL для диагностики in vitro.</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Calibri" w:eastAsia="Times New Roman" w:hAnsi="Calibri" w:cs="Times New Roman"/>
                <w:color w:val="000000"/>
                <w:lang w:eastAsia="ru-RU"/>
              </w:rPr>
              <w:t> </w:t>
            </w:r>
          </w:p>
        </w:tc>
        <w:tc>
          <w:tcPr>
            <w:tcW w:w="1459"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Упак.</w:t>
            </w:r>
          </w:p>
        </w:tc>
        <w:tc>
          <w:tcPr>
            <w:tcW w:w="57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1</w:t>
            </w:r>
          </w:p>
        </w:tc>
        <w:tc>
          <w:tcPr>
            <w:tcW w:w="14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78"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0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3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r>
      <w:tr w:rsidR="00667B46" w:rsidRPr="00667B46" w:rsidTr="00EE6364">
        <w:trPr>
          <w:trHeight w:val="7868"/>
        </w:trPr>
        <w:tc>
          <w:tcPr>
            <w:tcW w:w="457" w:type="dxa"/>
            <w:vMerge w:val="restart"/>
            <w:tcBorders>
              <w:bottom w:val="single" w:sz="4" w:space="0" w:color="auto"/>
            </w:tcBorders>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816" w:type="dxa"/>
            <w:vMerge/>
            <w:tcBorders>
              <w:bottom w:val="single" w:sz="4" w:space="0" w:color="auto"/>
            </w:tcBorders>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102"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tcBorders>
              <w:bottom w:val="single" w:sz="4" w:space="0" w:color="auto"/>
            </w:tcBorders>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Состав:</w:t>
            </w:r>
          </w:p>
        </w:tc>
        <w:tc>
          <w:tcPr>
            <w:tcW w:w="2506" w:type="dxa"/>
            <w:shd w:val="clear" w:color="auto" w:fill="auto"/>
            <w:vAlign w:val="center"/>
            <w:hideMark/>
          </w:tcPr>
          <w:p w:rsidR="00667B46" w:rsidRPr="00667B46" w:rsidRDefault="00667B46" w:rsidP="00667B46">
            <w:pPr>
              <w:spacing w:after="0" w:line="240" w:lineRule="auto"/>
              <w:jc w:val="both"/>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Кассета с реагентами – не менее -1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Калибратор (низкий уровень) – не менее - 1шт., объем не менее - 2,0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Калибратор (высокий уровень) – не менее - 1шт., объем не менее - 2,0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Материал контрольный (низкий уровень) – не менее - 1шт., объем не менее - 2,0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Материал контрольный (высокий уровень) – не менее - 1шт., объем не менее - 2,0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Этикетки для запечатывания флаконов – не менее -1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Этикетка результатов значений материалов контрольных – не менее -1 шт.;</w:t>
            </w:r>
          </w:p>
          <w:p w:rsidR="00667B46" w:rsidRPr="00667B46" w:rsidRDefault="00667B46" w:rsidP="00667B46">
            <w:pPr>
              <w:spacing w:after="0" w:line="240" w:lineRule="auto"/>
              <w:jc w:val="both"/>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Инструкция по применению – не менее -1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Количество тестов в кассете с реагентами - не менее - 100 тестов.</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459"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352" w:type="dxa"/>
            <w:tcBorders>
              <w:bottom w:val="single" w:sz="4" w:space="0" w:color="auto"/>
            </w:tcBorders>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tcBorders>
              <w:bottom w:val="single" w:sz="4" w:space="0" w:color="auto"/>
            </w:tcBorders>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Стабильность вскрытого реагента</w:t>
            </w:r>
            <w:r w:rsidRPr="00667B46">
              <w:rPr>
                <w:rFonts w:ascii="Times New Roman" w:eastAsia="Times New Roman" w:hAnsi="Times New Roman" w:cs="Times New Roman"/>
                <w:color w:val="000000"/>
                <w:sz w:val="20"/>
                <w:szCs w:val="20"/>
                <w:lang w:eastAsia="ru-RU"/>
              </w:rPr>
              <w:t xml:space="preserve"> </w:t>
            </w:r>
            <w:r w:rsidRPr="00667B46">
              <w:rPr>
                <w:rFonts w:ascii="Times New Roman" w:eastAsia="Times New Roman" w:hAnsi="Times New Roman" w:cs="Times New Roman"/>
                <w:b/>
                <w:bCs/>
                <w:color w:val="000000"/>
                <w:sz w:val="20"/>
                <w:szCs w:val="20"/>
                <w:lang w:eastAsia="ru-RU"/>
              </w:rPr>
              <w:t>при температуре от 2</w:t>
            </w:r>
            <w:r w:rsidRPr="00667B46">
              <w:rPr>
                <w:rFonts w:ascii="Times New Roman" w:eastAsia="Times New Roman" w:hAnsi="Times New Roman" w:cs="Times New Roman"/>
                <w:b/>
                <w:bCs/>
                <w:color w:val="000000"/>
                <w:sz w:val="20"/>
                <w:szCs w:val="20"/>
                <w:vertAlign w:val="superscript"/>
                <w:lang w:eastAsia="ru-RU"/>
              </w:rPr>
              <w:t>о</w:t>
            </w:r>
            <w:r w:rsidRPr="00667B46">
              <w:rPr>
                <w:rFonts w:ascii="Times New Roman" w:eastAsia="Times New Roman" w:hAnsi="Times New Roman" w:cs="Times New Roman"/>
                <w:b/>
                <w:bCs/>
                <w:color w:val="000000"/>
                <w:sz w:val="20"/>
                <w:szCs w:val="20"/>
                <w:lang w:eastAsia="ru-RU"/>
              </w:rPr>
              <w:t xml:space="preserve"> до 8</w:t>
            </w:r>
            <w:r w:rsidRPr="00667B46">
              <w:rPr>
                <w:rFonts w:ascii="Times New Roman" w:eastAsia="Times New Roman" w:hAnsi="Times New Roman" w:cs="Times New Roman"/>
                <w:b/>
                <w:bCs/>
                <w:color w:val="000000"/>
                <w:sz w:val="20"/>
                <w:szCs w:val="20"/>
                <w:vertAlign w:val="superscript"/>
                <w:lang w:eastAsia="ru-RU"/>
              </w:rPr>
              <w:t>о</w:t>
            </w:r>
            <w:r w:rsidRPr="00667B46">
              <w:rPr>
                <w:rFonts w:ascii="Times New Roman" w:eastAsia="Times New Roman" w:hAnsi="Times New Roman" w:cs="Times New Roman"/>
                <w:b/>
                <w:bCs/>
                <w:color w:val="000000"/>
                <w:sz w:val="20"/>
                <w:szCs w:val="20"/>
                <w:lang w:eastAsia="ru-RU"/>
              </w:rPr>
              <w:t>С</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xml:space="preserve">не менее 28 </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дней</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xml:space="preserve"> Характеристики обусловлены имеющимся у заказчика оборудованием, автоматическом электрохемилюминесцентном анализаторе Lifotronic eCL8000</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соответствие</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2052FD">
        <w:trPr>
          <w:trHeight w:val="7129"/>
        </w:trPr>
        <w:tc>
          <w:tcPr>
            <w:tcW w:w="457" w:type="dxa"/>
            <w:vMerge w:val="restart"/>
            <w:shd w:val="clear" w:color="auto" w:fill="auto"/>
            <w:vAlign w:val="center"/>
            <w:hideMark/>
          </w:tcPr>
          <w:p w:rsidR="00667B46" w:rsidRPr="00667B46" w:rsidRDefault="00667B46" w:rsidP="00667B46">
            <w:pPr>
              <w:spacing w:after="0" w:line="240" w:lineRule="auto"/>
              <w:jc w:val="right"/>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3</w:t>
            </w:r>
          </w:p>
        </w:tc>
        <w:tc>
          <w:tcPr>
            <w:tcW w:w="1816"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Набор реагентов для количественного определения общего 25-гидроксивитамина D  25-OH VD</w:t>
            </w:r>
          </w:p>
        </w:tc>
        <w:tc>
          <w:tcPr>
            <w:tcW w:w="11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21.20.23.110</w:t>
            </w: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Состав:</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Кассета с реагентами – не менее - 1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Калибратор (низкий уровень) – не менее - 1шт., объем не менее - 4,0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Калибратор (высокий уровень) – не менее - 1шт., объем не менее - 4,0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Материал контрольный (низкий уровень) – не менее - 1шт., объем не менее - 4,0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Материал контрольный (высокий уровень) – не менее - 1шт., объем не менее - 4,0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Этикетки для запечатывания флаконов – не менее - 1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Этикетка результатов значений материалов контрольных – не менее - 1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Инструкция по применению - не менее -  1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Количество тестов в кассете с реагентами - не менее - 100 тестов</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Набор</w:t>
            </w:r>
          </w:p>
        </w:tc>
        <w:tc>
          <w:tcPr>
            <w:tcW w:w="57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8</w:t>
            </w:r>
          </w:p>
        </w:tc>
        <w:tc>
          <w:tcPr>
            <w:tcW w:w="14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78"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0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3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Стабильность вскрытого реагента</w:t>
            </w:r>
            <w:r w:rsidRPr="00667B46">
              <w:rPr>
                <w:rFonts w:ascii="Times New Roman" w:eastAsia="Times New Roman" w:hAnsi="Times New Roman" w:cs="Times New Roman"/>
                <w:color w:val="000000"/>
                <w:sz w:val="20"/>
                <w:szCs w:val="20"/>
                <w:lang w:eastAsia="ru-RU"/>
              </w:rPr>
              <w:t xml:space="preserve"> </w:t>
            </w:r>
            <w:r w:rsidRPr="00667B46">
              <w:rPr>
                <w:rFonts w:ascii="Times New Roman" w:eastAsia="Times New Roman" w:hAnsi="Times New Roman" w:cs="Times New Roman"/>
                <w:b/>
                <w:bCs/>
                <w:color w:val="000000"/>
                <w:sz w:val="20"/>
                <w:szCs w:val="20"/>
                <w:lang w:eastAsia="ru-RU"/>
              </w:rPr>
              <w:t>при температуре от 2</w:t>
            </w:r>
            <w:r w:rsidRPr="00667B46">
              <w:rPr>
                <w:rFonts w:ascii="Times New Roman" w:eastAsia="Times New Roman" w:hAnsi="Times New Roman" w:cs="Times New Roman"/>
                <w:b/>
                <w:bCs/>
                <w:color w:val="000000"/>
                <w:sz w:val="20"/>
                <w:szCs w:val="20"/>
                <w:vertAlign w:val="superscript"/>
                <w:lang w:eastAsia="ru-RU"/>
              </w:rPr>
              <w:t>о</w:t>
            </w:r>
            <w:r w:rsidRPr="00667B46">
              <w:rPr>
                <w:rFonts w:ascii="Times New Roman" w:eastAsia="Times New Roman" w:hAnsi="Times New Roman" w:cs="Times New Roman"/>
                <w:b/>
                <w:bCs/>
                <w:color w:val="000000"/>
                <w:sz w:val="20"/>
                <w:szCs w:val="20"/>
                <w:lang w:eastAsia="ru-RU"/>
              </w:rPr>
              <w:t xml:space="preserve"> до 8</w:t>
            </w:r>
            <w:r w:rsidRPr="00667B46">
              <w:rPr>
                <w:rFonts w:ascii="Times New Roman" w:eastAsia="Times New Roman" w:hAnsi="Times New Roman" w:cs="Times New Roman"/>
                <w:b/>
                <w:bCs/>
                <w:color w:val="000000"/>
                <w:sz w:val="20"/>
                <w:szCs w:val="20"/>
                <w:vertAlign w:val="superscript"/>
                <w:lang w:eastAsia="ru-RU"/>
              </w:rPr>
              <w:t>о</w:t>
            </w:r>
            <w:r w:rsidRPr="00667B46">
              <w:rPr>
                <w:rFonts w:ascii="Times New Roman" w:eastAsia="Times New Roman" w:hAnsi="Times New Roman" w:cs="Times New Roman"/>
                <w:b/>
                <w:bCs/>
                <w:color w:val="000000"/>
                <w:sz w:val="20"/>
                <w:szCs w:val="20"/>
                <w:lang w:eastAsia="ru-RU"/>
              </w:rPr>
              <w:t>С</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xml:space="preserve">не менее 28 </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дней</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xml:space="preserve"> Характеристики обусловлены имеющимся у заказчика оборудованием, автоматическом электрохемилюминесцентном анализаторе Lifotronic eCL8000</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соответствие</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9D358C">
        <w:trPr>
          <w:trHeight w:val="2628"/>
        </w:trPr>
        <w:tc>
          <w:tcPr>
            <w:tcW w:w="457" w:type="dxa"/>
            <w:vMerge w:val="restart"/>
            <w:shd w:val="clear" w:color="auto" w:fill="auto"/>
            <w:vAlign w:val="center"/>
            <w:hideMark/>
          </w:tcPr>
          <w:p w:rsidR="00667B46" w:rsidRPr="00667B46" w:rsidRDefault="00667B46" w:rsidP="00667B46">
            <w:pPr>
              <w:spacing w:after="0" w:line="240" w:lineRule="auto"/>
              <w:jc w:val="right"/>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4</w:t>
            </w:r>
          </w:p>
        </w:tc>
        <w:tc>
          <w:tcPr>
            <w:tcW w:w="1816"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Реагент очищающий (Auffer)</w:t>
            </w:r>
          </w:p>
        </w:tc>
        <w:tc>
          <w:tcPr>
            <w:tcW w:w="11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21.20.23.110</w:t>
            </w: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Назаначение</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Для очистки аспирационной иглы и измерительной</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ячейки анализатора. Для совместного использования с автоматическими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электрохемилюминесцентными анализаторами ECL для диагностики in vitro.</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Упак.</w:t>
            </w:r>
          </w:p>
        </w:tc>
        <w:tc>
          <w:tcPr>
            <w:tcW w:w="57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8</w:t>
            </w:r>
          </w:p>
        </w:tc>
        <w:tc>
          <w:tcPr>
            <w:tcW w:w="14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78"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0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3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r>
      <w:tr w:rsidR="00667B46" w:rsidRPr="00667B46" w:rsidTr="007541B3">
        <w:trPr>
          <w:trHeight w:val="2628"/>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Состав:</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Ауфер – не менее - 6шт., объем не менее - 480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Силиконовая крышка – не менее -6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Инструкция по применению – не менее -1 шт.;</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соответствие</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Значение характеристики не может изменяться участником закупки.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275F65">
        <w:trPr>
          <w:trHeight w:val="3220"/>
        </w:trPr>
        <w:tc>
          <w:tcPr>
            <w:tcW w:w="457" w:type="dxa"/>
            <w:vMerge w:val="restart"/>
            <w:shd w:val="clear" w:color="auto" w:fill="auto"/>
            <w:vAlign w:val="center"/>
            <w:hideMark/>
          </w:tcPr>
          <w:p w:rsidR="00667B46" w:rsidRPr="00667B46" w:rsidRDefault="00667B46" w:rsidP="00667B46">
            <w:pPr>
              <w:spacing w:after="0" w:line="240" w:lineRule="auto"/>
              <w:jc w:val="right"/>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5</w:t>
            </w:r>
          </w:p>
        </w:tc>
        <w:tc>
          <w:tcPr>
            <w:tcW w:w="1816"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Реагент промывочный (Buffer)</w:t>
            </w:r>
          </w:p>
        </w:tc>
        <w:tc>
          <w:tcPr>
            <w:tcW w:w="11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21.20.23.110</w:t>
            </w: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Назначение</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Для использования во время проведения</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электрохемилюминесцентного анализа для промывки неприсоединившихся образцов 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реагентов. Для совместного использования с автоматическими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электрохемилюминесцентными анализаторами ECL для диагностики in vitro.</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Упак.</w:t>
            </w:r>
          </w:p>
        </w:tc>
        <w:tc>
          <w:tcPr>
            <w:tcW w:w="57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w:t>
            </w:r>
          </w:p>
        </w:tc>
        <w:tc>
          <w:tcPr>
            <w:tcW w:w="14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78"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0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3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r>
      <w:tr w:rsidR="00667B46" w:rsidRPr="00667B46" w:rsidTr="00E32945">
        <w:trPr>
          <w:trHeight w:val="2628"/>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Состав:</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Буфер – не менее - 6шт., объем не менее - 480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Силиконовая крышка – не менее - 6 шт.;</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Инструкция по применению – не менее - 1 шт.</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Соответствие</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AC39F5">
        <w:trPr>
          <w:trHeight w:val="2628"/>
        </w:trPr>
        <w:tc>
          <w:tcPr>
            <w:tcW w:w="457" w:type="dxa"/>
            <w:vMerge w:val="restart"/>
            <w:shd w:val="clear" w:color="auto" w:fill="auto"/>
            <w:vAlign w:val="center"/>
            <w:hideMark/>
          </w:tcPr>
          <w:p w:rsidR="00667B46" w:rsidRPr="00667B46" w:rsidRDefault="00667B46" w:rsidP="00667B46">
            <w:pPr>
              <w:spacing w:after="0" w:line="240" w:lineRule="auto"/>
              <w:jc w:val="right"/>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6</w:t>
            </w:r>
          </w:p>
        </w:tc>
        <w:tc>
          <w:tcPr>
            <w:tcW w:w="1816"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r w:rsidRPr="00667B46">
              <w:rPr>
                <w:rFonts w:ascii="Times New Roman" w:eastAsia="Times New Roman" w:hAnsi="Times New Roman" w:cs="Times New Roman"/>
                <w:b/>
                <w:bCs/>
                <w:color w:val="000000"/>
                <w:sz w:val="20"/>
                <w:szCs w:val="20"/>
                <w:lang w:eastAsia="ru-RU"/>
              </w:rPr>
              <w:t>Реагент буферный концентрированный промывочный (Concentrated Washing Buffer)</w:t>
            </w:r>
          </w:p>
        </w:tc>
        <w:tc>
          <w:tcPr>
            <w:tcW w:w="1102" w:type="dxa"/>
            <w:vMerge w:val="restart"/>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21.20.23.110</w:t>
            </w: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xml:space="preserve"> Назначение </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Для очистки иглы для образцов/реагентов анализатора.</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Для совместного использования с автоматическими электрохемилюминесцентными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анализаторами ECL для диагностики in vitro.</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Упак.</w:t>
            </w:r>
          </w:p>
        </w:tc>
        <w:tc>
          <w:tcPr>
            <w:tcW w:w="57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1</w:t>
            </w:r>
          </w:p>
        </w:tc>
        <w:tc>
          <w:tcPr>
            <w:tcW w:w="1402"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78"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04"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737" w:type="dxa"/>
            <w:vMerge w:val="restart"/>
            <w:shd w:val="clear" w:color="auto" w:fill="auto"/>
            <w:vAlign w:val="center"/>
            <w:hideMark/>
          </w:tcPr>
          <w:p w:rsidR="00667B46" w:rsidRPr="00667B46" w:rsidRDefault="00667B46" w:rsidP="00667B46">
            <w:pPr>
              <w:spacing w:after="0" w:line="240" w:lineRule="auto"/>
              <w:jc w:val="center"/>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r>
      <w:tr w:rsidR="00667B46" w:rsidRPr="00667B46" w:rsidTr="009B3275">
        <w:trPr>
          <w:trHeight w:val="211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Состав:</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Реагент буферный концентрированный промывочный – 6шт., объем не менее - 1000 мл;</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Инструкция по применению – не менее - 1 шт.</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r w:rsidR="00667B46" w:rsidRPr="00667B46" w:rsidTr="00667B46">
        <w:trPr>
          <w:trHeight w:val="499"/>
        </w:trPr>
        <w:tc>
          <w:tcPr>
            <w:tcW w:w="45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816" w:type="dxa"/>
            <w:vMerge/>
            <w:vAlign w:val="center"/>
            <w:hideMark/>
          </w:tcPr>
          <w:p w:rsidR="00667B46" w:rsidRPr="00667B46" w:rsidRDefault="00667B46" w:rsidP="00667B46">
            <w:pPr>
              <w:spacing w:after="0" w:line="240" w:lineRule="auto"/>
              <w:rPr>
                <w:rFonts w:ascii="Times New Roman" w:eastAsia="Times New Roman" w:hAnsi="Times New Roman" w:cs="Times New Roman"/>
                <w:b/>
                <w:bCs/>
                <w:color w:val="000000"/>
                <w:sz w:val="20"/>
                <w:szCs w:val="20"/>
                <w:lang w:eastAsia="ru-RU"/>
              </w:rPr>
            </w:pPr>
          </w:p>
        </w:tc>
        <w:tc>
          <w:tcPr>
            <w:tcW w:w="11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2387"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506"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Соответствие</w:t>
            </w:r>
          </w:p>
        </w:tc>
        <w:tc>
          <w:tcPr>
            <w:tcW w:w="1459"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 </w:t>
            </w:r>
          </w:p>
        </w:tc>
        <w:tc>
          <w:tcPr>
            <w:tcW w:w="1352" w:type="dxa"/>
            <w:shd w:val="clear" w:color="auto" w:fill="auto"/>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r w:rsidRPr="00667B4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57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1402"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78"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604"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c>
          <w:tcPr>
            <w:tcW w:w="737" w:type="dxa"/>
            <w:vMerge/>
            <w:vAlign w:val="center"/>
            <w:hideMark/>
          </w:tcPr>
          <w:p w:rsidR="00667B46" w:rsidRPr="00667B46" w:rsidRDefault="00667B46" w:rsidP="00667B46">
            <w:pPr>
              <w:spacing w:after="0" w:line="240" w:lineRule="auto"/>
              <w:rPr>
                <w:rFonts w:ascii="Times New Roman" w:eastAsia="Times New Roman" w:hAnsi="Times New Roman" w:cs="Times New Roman"/>
                <w:color w:val="000000"/>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667B4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CA2" w:rsidRDefault="009D6CA2">
      <w:pPr>
        <w:spacing w:after="0" w:line="240" w:lineRule="auto"/>
      </w:pPr>
      <w:r>
        <w:separator/>
      </w:r>
    </w:p>
  </w:endnote>
  <w:endnote w:type="continuationSeparator" w:id="0">
    <w:p w:rsidR="009D6CA2" w:rsidRDefault="009D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62BE" w:rsidRDefault="007F62B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F62B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F62B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F62B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F62B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A07F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F62B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A07F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CA2" w:rsidRDefault="009D6CA2">
      <w:pPr>
        <w:spacing w:after="0" w:line="240" w:lineRule="auto"/>
      </w:pPr>
      <w:r>
        <w:separator/>
      </w:r>
    </w:p>
  </w:footnote>
  <w:footnote w:type="continuationSeparator" w:id="0">
    <w:p w:rsidR="009D6CA2" w:rsidRDefault="009D6CA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62BE" w:rsidRDefault="007F62B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62BE" w:rsidRDefault="007F62B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62BE" w:rsidRDefault="007F62B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67B46"/>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07F5"/>
    <w:rsid w:val="007B5155"/>
    <w:rsid w:val="007B631D"/>
    <w:rsid w:val="007B64E3"/>
    <w:rsid w:val="007C20A6"/>
    <w:rsid w:val="007C4CF9"/>
    <w:rsid w:val="007D2EFB"/>
    <w:rsid w:val="007D4BE6"/>
    <w:rsid w:val="007E016E"/>
    <w:rsid w:val="007E2406"/>
    <w:rsid w:val="007E29E9"/>
    <w:rsid w:val="007F15A5"/>
    <w:rsid w:val="007F4C38"/>
    <w:rsid w:val="007F62BE"/>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6CA2"/>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464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66411899">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58F3C-AF2B-479D-8873-7A5697EE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1859</Words>
  <Characters>10601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