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21.1-03/2043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82CD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ПЦР</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28.02.2026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партиями, количество партий - не более 10.</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70%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89" w:type="pct"/>
        <w:tblLayout w:type="fixed"/>
        <w:tblLook w:val="04A0" w:firstRow="1" w:lastRow="0" w:firstColumn="1" w:lastColumn="0" w:noHBand="0" w:noVBand="1"/>
      </w:tblPr>
      <w:tblGrid>
        <w:gridCol w:w="1522"/>
        <w:gridCol w:w="899"/>
        <w:gridCol w:w="3360"/>
        <w:gridCol w:w="2188"/>
        <w:gridCol w:w="1052"/>
        <w:gridCol w:w="2571"/>
        <w:gridCol w:w="870"/>
        <w:gridCol w:w="825"/>
        <w:gridCol w:w="1049"/>
        <w:gridCol w:w="909"/>
        <w:gridCol w:w="987"/>
      </w:tblGrid>
      <w:tr w:rsidR="00E56D53" w:rsidRPr="00E56D53" w:rsidTr="00E56D53">
        <w:trPr>
          <w:trHeight w:val="20"/>
        </w:trPr>
        <w:tc>
          <w:tcPr>
            <w:tcW w:w="469" w:type="pct"/>
            <w:tcBorders>
              <w:top w:val="single" w:sz="4" w:space="0" w:color="auto"/>
              <w:left w:val="single" w:sz="4" w:space="0" w:color="auto"/>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Наименование товара, работы, услуги</w:t>
            </w:r>
          </w:p>
        </w:tc>
        <w:tc>
          <w:tcPr>
            <w:tcW w:w="277"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Код позиции</w:t>
            </w:r>
          </w:p>
        </w:tc>
        <w:tc>
          <w:tcPr>
            <w:tcW w:w="1035"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Наименование характеристики</w:t>
            </w:r>
          </w:p>
        </w:tc>
        <w:tc>
          <w:tcPr>
            <w:tcW w:w="674"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w:t>
            </w:r>
          </w:p>
        </w:tc>
        <w:tc>
          <w:tcPr>
            <w:tcW w:w="324"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Единица измерения характеристики</w:t>
            </w:r>
          </w:p>
        </w:tc>
        <w:tc>
          <w:tcPr>
            <w:tcW w:w="792"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268"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(объем работы, услуги)</w:t>
            </w:r>
          </w:p>
        </w:tc>
        <w:tc>
          <w:tcPr>
            <w:tcW w:w="254" w:type="pct"/>
            <w:tcBorders>
              <w:top w:val="single" w:sz="4" w:space="0" w:color="auto"/>
              <w:left w:val="nil"/>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Единица измерения</w:t>
            </w:r>
          </w:p>
        </w:tc>
        <w:tc>
          <w:tcPr>
            <w:tcW w:w="323" w:type="pct"/>
            <w:tcBorders>
              <w:top w:val="single" w:sz="4" w:space="0" w:color="auto"/>
              <w:left w:val="nil"/>
              <w:bottom w:val="single" w:sz="4" w:space="0" w:color="auto"/>
              <w:right w:val="single" w:sz="4" w:space="0" w:color="auto"/>
            </w:tcBorders>
            <w:shd w:val="clear" w:color="000000" w:fill="FFFF00"/>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Страна происхождения</w:t>
            </w:r>
          </w:p>
        </w:tc>
        <w:tc>
          <w:tcPr>
            <w:tcW w:w="280" w:type="pct"/>
            <w:tcBorders>
              <w:top w:val="single" w:sz="4" w:space="0" w:color="auto"/>
              <w:left w:val="nil"/>
              <w:bottom w:val="single" w:sz="4" w:space="0" w:color="auto"/>
              <w:right w:val="single" w:sz="4" w:space="0" w:color="auto"/>
            </w:tcBorders>
            <w:shd w:val="clear" w:color="000000" w:fill="FFFF00"/>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Цена за ед. (руб.)</w:t>
            </w:r>
          </w:p>
        </w:tc>
        <w:tc>
          <w:tcPr>
            <w:tcW w:w="305" w:type="pct"/>
            <w:tcBorders>
              <w:top w:val="single" w:sz="4" w:space="0" w:color="auto"/>
              <w:left w:val="nil"/>
              <w:bottom w:val="single" w:sz="4" w:space="0" w:color="auto"/>
              <w:right w:val="single" w:sz="4" w:space="0" w:color="auto"/>
            </w:tcBorders>
            <w:shd w:val="clear" w:color="000000" w:fill="FFFF00"/>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Сумма (руб.)</w:t>
            </w:r>
          </w:p>
        </w:tc>
      </w:tr>
      <w:tr w:rsidR="00E56D53" w:rsidRPr="00E56D53" w:rsidTr="00E56D53">
        <w:trPr>
          <w:trHeight w:val="20"/>
        </w:trPr>
        <w:tc>
          <w:tcPr>
            <w:tcW w:w="469" w:type="pct"/>
            <w:vMerge w:val="restart"/>
            <w:tcBorders>
              <w:top w:val="nil"/>
              <w:left w:val="single" w:sz="4" w:space="0" w:color="auto"/>
              <w:bottom w:val="single" w:sz="4" w:space="0" w:color="auto"/>
              <w:right w:val="single" w:sz="4" w:space="0" w:color="auto"/>
            </w:tcBorders>
            <w:shd w:val="clear" w:color="auto" w:fill="auto"/>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Набор для выделения РНК из FFPE-блоков на колонках с силикагелевой мембраной, 50 реакций</w:t>
            </w:r>
          </w:p>
        </w:tc>
        <w:tc>
          <w:tcPr>
            <w:tcW w:w="27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20.59.59.900</w:t>
            </w: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Набор предназначен для выделения тотальной РНК из срезов парафиновых блоков на колонках с силикагелевой мембраной</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w:t>
            </w:r>
          </w:p>
        </w:tc>
        <w:tc>
          <w:tcPr>
            <w:tcW w:w="25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шт</w:t>
            </w:r>
          </w:p>
        </w:tc>
        <w:tc>
          <w:tcPr>
            <w:tcW w:w="3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30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Фасовка,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реакций</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колонок с силикагелевой мембраной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штук</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собирательных пробирок объемом 2 мл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штук</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масса протеиназы К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24</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мг</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буфера для растворения фермента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1,8</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ДНКазы I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600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мкл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буфера для увеличинеия активности ДНКазы  I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1,5</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буфера для депарафинизации образцов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60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буфера для лизиса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15</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буфера для связывания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15</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первого буфера для промывки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второго буфера для промывки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буфера для элюции в наборе, не менее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10</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мл</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элюции 15-50 мкл</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Максимальное количество образца, из которого возможно выделение набором</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8 срезов толщиной 5-20 мкм</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000000"/>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Магнитный штатив для 24х1,5/2,0 мл пробирок</w:t>
            </w:r>
          </w:p>
        </w:tc>
        <w:tc>
          <w:tcPr>
            <w:tcW w:w="277" w:type="pct"/>
            <w:vMerge w:val="restart"/>
            <w:tcBorders>
              <w:top w:val="nil"/>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26.51.12.190</w:t>
            </w: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Магнитный штатив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 шт.</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nil"/>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w:t>
            </w:r>
          </w:p>
        </w:tc>
        <w:tc>
          <w:tcPr>
            <w:tcW w:w="254" w:type="pct"/>
            <w:vMerge w:val="restart"/>
            <w:tcBorders>
              <w:top w:val="nil"/>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шт</w:t>
            </w:r>
          </w:p>
        </w:tc>
        <w:tc>
          <w:tcPr>
            <w:tcW w:w="323" w:type="pct"/>
            <w:vMerge w:val="restart"/>
            <w:tcBorders>
              <w:top w:val="nil"/>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280" w:type="pct"/>
            <w:vMerge w:val="restart"/>
            <w:tcBorders>
              <w:top w:val="nil"/>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305" w:type="pct"/>
            <w:vMerge w:val="restart"/>
            <w:tcBorders>
              <w:top w:val="nil"/>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мест для размещения пробирок объемом 1,5-2,0 мл</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менее 24</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изготовления штатива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Поливинилхлорид</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Устойчивость к УФ-излучению</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Устойчивость к действию влаги, кислот, щелочей, растворов солей, спиртов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Возможность размещения в морозильной камере с температурой -20С</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Цифровая нумерация посадочных мест для пробирок</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Ножки из химически стойкой резины</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исполнения магнита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Сплав редкоземельного элемента неодима, бора и железа</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магнитов в штативе</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менее 12</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Габариты (ДхВхГ)</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более 275х51х60 мм</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Магнитный штатив для проведения экстракции нуклеиновых кислот</w:t>
            </w:r>
          </w:p>
        </w:tc>
        <w:tc>
          <w:tcPr>
            <w:tcW w:w="277" w:type="pct"/>
            <w:vMerge w:val="restart"/>
            <w:tcBorders>
              <w:top w:val="single" w:sz="4" w:space="0" w:color="auto"/>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26.51.12.190</w:t>
            </w: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Магнитный штатив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 шт.</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single" w:sz="4" w:space="0" w:color="auto"/>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w:t>
            </w:r>
          </w:p>
        </w:tc>
        <w:tc>
          <w:tcPr>
            <w:tcW w:w="254" w:type="pct"/>
            <w:vMerge w:val="restart"/>
            <w:tcBorders>
              <w:top w:val="single" w:sz="4" w:space="0" w:color="auto"/>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шт</w:t>
            </w:r>
          </w:p>
        </w:tc>
        <w:tc>
          <w:tcPr>
            <w:tcW w:w="323" w:type="pct"/>
            <w:vMerge w:val="restart"/>
            <w:tcBorders>
              <w:top w:val="single" w:sz="4" w:space="0" w:color="auto"/>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280" w:type="pct"/>
            <w:vMerge w:val="restart"/>
            <w:tcBorders>
              <w:top w:val="single" w:sz="4" w:space="0" w:color="auto"/>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305" w:type="pct"/>
            <w:vMerge w:val="restart"/>
            <w:tcBorders>
              <w:top w:val="single" w:sz="4" w:space="0" w:color="auto"/>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мест для размещения пробирок объемом 0,2 мл</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менее 32</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мест для размещения ПЦР-стрипов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менее 4</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изготовления штатива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Поливинилхлорид</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Устойчивость к УФ-излучению</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Устойчивость к действию влаги, кислот, щелочей, растворов солей, спиртов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Возможность размещения в морозильной камеры с температурой -20С</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Цифровая нумерация посадочных мест для пробирок</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исполнения магнита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Неодимовый сплав</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магнитов в штативе</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менее 16</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Габариты</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Не более 195х32х50 мм</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auto"/>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Планшеты для ПЦР, объемом 0,2 мл, без юбки, 25 шт/уп</w:t>
            </w:r>
          </w:p>
        </w:tc>
        <w:tc>
          <w:tcPr>
            <w:tcW w:w="277"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20.59.59.900</w:t>
            </w: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изготовления</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Полипропилен высокой степени очистки</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30</w:t>
            </w:r>
          </w:p>
        </w:tc>
        <w:tc>
          <w:tcPr>
            <w:tcW w:w="254"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упак</w:t>
            </w:r>
          </w:p>
        </w:tc>
        <w:tc>
          <w:tcPr>
            <w:tcW w:w="323"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280"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305"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Тонкие, равномерные по толщине стенки пробирки обеспечивают максимально эффективный теплообмен между термоблоком и реакционной смесью</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Рабочий объем пробирок</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200 мкл</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лунок в планшете</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96</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Вариант платформы планшета "без юбки"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Лунки в планшете имеют буквенно-цифровую идентификацию</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Совместимы с термоциклерами различных производителей</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Высота планшета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21 мм</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штук в упаковке</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25</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Сертифицированы на отсутствие человеческой ДНК, ДНКаз, РНКаз, ингибиторов ПЦР</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Наконечники 5000 мкл без фильтра, тип А, нестерильные, в пакете, 100 шт.</w:t>
            </w:r>
          </w:p>
        </w:tc>
        <w:tc>
          <w:tcPr>
            <w:tcW w:w="277" w:type="pct"/>
            <w:vMerge w:val="restart"/>
            <w:tcBorders>
              <w:top w:val="nil"/>
              <w:left w:val="single" w:sz="4" w:space="0" w:color="000000"/>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20.59.59.900</w:t>
            </w: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изготовления</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Полипропилен</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nil"/>
              <w:left w:val="single" w:sz="4" w:space="0" w:color="000000"/>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w:t>
            </w:r>
          </w:p>
        </w:tc>
        <w:tc>
          <w:tcPr>
            <w:tcW w:w="254" w:type="pct"/>
            <w:vMerge w:val="restart"/>
            <w:tcBorders>
              <w:top w:val="nil"/>
              <w:left w:val="single" w:sz="4" w:space="0" w:color="000000"/>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упак</w:t>
            </w:r>
          </w:p>
        </w:tc>
        <w:tc>
          <w:tcPr>
            <w:tcW w:w="323" w:type="pct"/>
            <w:vMerge w:val="restart"/>
            <w:tcBorders>
              <w:top w:val="nil"/>
              <w:left w:val="single" w:sz="4" w:space="0" w:color="000000"/>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280" w:type="pct"/>
            <w:vMerge w:val="restart"/>
            <w:tcBorders>
              <w:top w:val="nil"/>
              <w:left w:val="single" w:sz="4" w:space="0" w:color="000000"/>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305" w:type="pct"/>
            <w:vMerge w:val="restart"/>
            <w:tcBorders>
              <w:top w:val="nil"/>
              <w:left w:val="single" w:sz="4" w:space="0" w:color="000000"/>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Максимально возможный объем набираемой жидкости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5000 мкл</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Длина наконечника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119,9 мм</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Наконечники не окрашены</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Совместимы с дозаторами производства Eppendorf, Sartorius (Biohit), Accumax серий VA-FA, AV, Pro</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 градуировки, позволяющей проводить визуальную оценку объема отбираемой пробы</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Выдерживают автоклавирование при стандартных условиях</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штук в упаковке</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100</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Сертифицированы на отсутствие ДНКаз, РНКаз, эндотоксинов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Регистрационное удостоверение Росздравнадзора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val="restart"/>
            <w:tcBorders>
              <w:top w:val="nil"/>
              <w:left w:val="nil"/>
              <w:bottom w:val="nil"/>
              <w:right w:val="nil"/>
            </w:tcBorders>
            <w:shd w:val="clear" w:color="auto" w:fill="auto"/>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xml:space="preserve">Праймеры для парноконцевого секвенирования двойных баркодов </w:t>
            </w:r>
          </w:p>
        </w:tc>
        <w:tc>
          <w:tcPr>
            <w:tcW w:w="277" w:type="pct"/>
            <w:vMerge w:val="restart"/>
            <w:tcBorders>
              <w:top w:val="single" w:sz="4" w:space="0" w:color="auto"/>
              <w:left w:val="nil"/>
              <w:bottom w:val="nil"/>
              <w:right w:val="single" w:sz="4" w:space="0" w:color="000000"/>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20.59.59.900</w:t>
            </w: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Праймеры предназначены для использования в процессе секвенировании библиотек, содержащих двойные баркоды</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single" w:sz="4" w:space="0" w:color="auto"/>
              <w:left w:val="single" w:sz="4" w:space="0" w:color="auto"/>
              <w:bottom w:val="nil"/>
              <w:right w:val="nil"/>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w:t>
            </w:r>
          </w:p>
        </w:tc>
        <w:tc>
          <w:tcPr>
            <w:tcW w:w="254" w:type="pct"/>
            <w:vMerge w:val="restart"/>
            <w:tcBorders>
              <w:top w:val="single" w:sz="4" w:space="0" w:color="auto"/>
              <w:left w:val="single" w:sz="4" w:space="0" w:color="auto"/>
              <w:bottom w:val="nil"/>
              <w:right w:val="nil"/>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шт</w:t>
            </w:r>
          </w:p>
        </w:tc>
        <w:tc>
          <w:tcPr>
            <w:tcW w:w="323" w:type="pct"/>
            <w:vMerge w:val="restart"/>
            <w:tcBorders>
              <w:top w:val="single" w:sz="4" w:space="0" w:color="auto"/>
              <w:left w:val="single" w:sz="4" w:space="0" w:color="auto"/>
              <w:bottom w:val="nil"/>
              <w:right w:val="nil"/>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280" w:type="pct"/>
            <w:vMerge w:val="restart"/>
            <w:tcBorders>
              <w:top w:val="single" w:sz="4" w:space="0" w:color="auto"/>
              <w:left w:val="single" w:sz="4" w:space="0" w:color="auto"/>
              <w:bottom w:val="nil"/>
              <w:right w:val="nil"/>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305" w:type="pct"/>
            <w:vMerge w:val="restart"/>
            <w:tcBorders>
              <w:top w:val="single" w:sz="4" w:space="0" w:color="auto"/>
              <w:left w:val="single" w:sz="4" w:space="0" w:color="auto"/>
              <w:bottom w:val="nil"/>
              <w:right w:val="nil"/>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r>
      <w:tr w:rsidR="00E56D53" w:rsidRPr="00E56D53" w:rsidTr="00E56D53">
        <w:trPr>
          <w:trHeight w:val="20"/>
        </w:trPr>
        <w:tc>
          <w:tcPr>
            <w:tcW w:w="469" w:type="pct"/>
            <w:vMerge/>
            <w:tcBorders>
              <w:top w:val="nil"/>
              <w:left w:val="nil"/>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nil"/>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Принцип секвенирования</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Последовательное удлинение олигонуклеотидных затравок на  наношарике ДНК, состоящего из многократно повторенного исследуемого фрагмента ДНК, за счёт встраивания специфичного нуклеотида с флуоресцентным красителем с дальнейшей детекцией флуоресцентного сигнала CCD-камерой</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nil"/>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nil"/>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Характер прочтений</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Парноконцевые (PE)</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nil"/>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nil"/>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Набора достаточно для осуществления одного запуска секвенатора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single" w:sz="4" w:space="0" w:color="auto"/>
              <w:left w:val="single" w:sz="4" w:space="0" w:color="auto"/>
              <w:bottom w:val="nil"/>
              <w:right w:val="nil"/>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Микроцентрифужная пробирка объем 1.5 мл, 500 шт/уп</w:t>
            </w:r>
          </w:p>
        </w:tc>
        <w:tc>
          <w:tcPr>
            <w:tcW w:w="277"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20.59.59.900</w:t>
            </w: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изготовления</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Полипропилен высокой степени чистоты</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20</w:t>
            </w:r>
          </w:p>
        </w:tc>
        <w:tc>
          <w:tcPr>
            <w:tcW w:w="254"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упак</w:t>
            </w:r>
          </w:p>
        </w:tc>
        <w:tc>
          <w:tcPr>
            <w:tcW w:w="323"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280"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c>
          <w:tcPr>
            <w:tcW w:w="305" w:type="pct"/>
            <w:vMerge w:val="restart"/>
            <w:tcBorders>
              <w:top w:val="single" w:sz="4" w:space="0" w:color="000000"/>
              <w:left w:val="single" w:sz="4" w:space="0" w:color="000000"/>
              <w:bottom w:val="nil"/>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w:t>
            </w: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Плоская защелкивающаяся крышка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Диаметр верхней части пробирки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10,2 мм</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Высота пробирки без крышки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38,84 мм</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Объем пробирки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1,5 мл</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Градуировка</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Шаг градуировки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500 мкл</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Цвет пробирок</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Бесцветный</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Наличие на боковой поверхности пробирки большой матовой области для нанесения маркировки</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Выдерживает автоклавирование при условиях 121°С  в течение 15 мин</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Выдерживает нагревание до 100°С</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Для рутинного центрифугирования рекомендованы параметры ускорения до</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20000 g</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Выдерживает центрифугирование до максимального ускорения</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30000 g</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Количество штук в упаковке</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500</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Сертифицированы на отсутствие ДНКаз, РНКаз, пирогенов</w:t>
            </w:r>
          </w:p>
        </w:tc>
        <w:tc>
          <w:tcPr>
            <w:tcW w:w="674" w:type="pct"/>
            <w:tcBorders>
              <w:top w:val="nil"/>
              <w:left w:val="nil"/>
              <w:bottom w:val="single" w:sz="4" w:space="0" w:color="000000"/>
              <w:right w:val="single" w:sz="4" w:space="0" w:color="000000"/>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nil"/>
              <w:right w:val="nil"/>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792" w:type="pc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54"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23"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80"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305" w:type="pct"/>
            <w:vMerge/>
            <w:tcBorders>
              <w:top w:val="single" w:sz="4" w:space="0" w:color="000000"/>
              <w:left w:val="single" w:sz="4" w:space="0" w:color="000000"/>
              <w:bottom w:val="nil"/>
              <w:right w:val="single" w:sz="4" w:space="0" w:color="000000"/>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r>
      <w:tr w:rsidR="00E56D53" w:rsidRPr="00E56D53" w:rsidTr="00E56D53">
        <w:trPr>
          <w:trHeight w:val="20"/>
        </w:trPr>
        <w:tc>
          <w:tcPr>
            <w:tcW w:w="4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Открывалка для пробирок</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20.59.59.900</w:t>
            </w: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Материал изготовления</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Полипропилен</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3</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шт</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Открывалки предназначены для работы с микроцентрифужными пробирками объемом 1,5 мл</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xml:space="preserve">Урацил-ДНК-гликозилаза, 5000 е.а. </w:t>
            </w:r>
          </w:p>
        </w:tc>
        <w:tc>
          <w:tcPr>
            <w:tcW w:w="27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20.59.59.900</w:t>
            </w: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Концентрация</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20000-50000 е.а./мл</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10</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упак</w:t>
            </w:r>
          </w:p>
        </w:tc>
        <w:tc>
          <w:tcPr>
            <w:tcW w:w="32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28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Фасовка</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5000 е.а.</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Фермент выделен из штамма E.coli, несущего рекомбинантный ген</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Фермент катализирует высвобождение свободного урацила из урацил-содержащих ДНК</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Одна единица активности фермента обеспечивает высвобождение 60 пмолей урацила за 1 мин из двуцепочечной урацил-содержащей ДНК при 37°С</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Реакционный буфер в комплекте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 xml:space="preserve">Обратная транскриптаза M-MulV без активности РНКазы Н (RNaseH-), 25 000 e.a. </w:t>
            </w:r>
          </w:p>
        </w:tc>
        <w:tc>
          <w:tcPr>
            <w:tcW w:w="27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20.59.59.900</w:t>
            </w: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Фасовка</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25000 е.а.</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20</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упак</w:t>
            </w:r>
          </w:p>
        </w:tc>
        <w:tc>
          <w:tcPr>
            <w:tcW w:w="32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28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Концентрация</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100000-200000 е.а./мл</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10× реакционный буфер  в комплекте</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Наличие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Состав реакционного буфера, входящего в комплект: 50 мМ Tris-HCl (pH 8.3 при 25°C); 3 мМ MgCl2; 75 мМ KCl; 10 мМ DTT</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Оптимальная температура работы эндонуклеазы рестрикции</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37 °С</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Единица активности фермента определяется как количество фермента, необходимое для включения 1 нмоля dТTP в кислотонерастворимую фракцию, образуемую на матрице поли (rA) с олиго (dT)-праймера за 10 мин при 37°С</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r w:rsidR="00E56D53" w:rsidRPr="00E56D53" w:rsidTr="00E56D53">
        <w:trPr>
          <w:trHeight w:val="20"/>
        </w:trPr>
        <w:tc>
          <w:tcPr>
            <w:tcW w:w="469"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1035"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Фермент выделен из штамма E.coli, несущего ген соответствующей обратной транскриптазы</w:t>
            </w:r>
          </w:p>
        </w:tc>
        <w:tc>
          <w:tcPr>
            <w:tcW w:w="674"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sz w:val="20"/>
                <w:szCs w:val="20"/>
                <w:lang w:eastAsia="ru-RU"/>
              </w:rPr>
            </w:pPr>
            <w:r w:rsidRPr="00E56D53">
              <w:rPr>
                <w:rFonts w:ascii="Times New Roman" w:eastAsia="Times New Roman" w:hAnsi="Times New Roman" w:cs="Times New Roman"/>
                <w:sz w:val="20"/>
                <w:szCs w:val="20"/>
                <w:lang w:eastAsia="ru-RU"/>
              </w:rPr>
              <w:t>Соответствие</w:t>
            </w:r>
          </w:p>
        </w:tc>
        <w:tc>
          <w:tcPr>
            <w:tcW w:w="324" w:type="pct"/>
            <w:tcBorders>
              <w:top w:val="nil"/>
              <w:left w:val="nil"/>
              <w:bottom w:val="single" w:sz="4" w:space="0" w:color="auto"/>
              <w:right w:val="single" w:sz="4" w:space="0" w:color="auto"/>
            </w:tcBorders>
            <w:shd w:val="clear" w:color="auto" w:fill="auto"/>
            <w:noWrap/>
            <w:vAlign w:val="bottom"/>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 </w:t>
            </w:r>
          </w:p>
        </w:tc>
        <w:tc>
          <w:tcPr>
            <w:tcW w:w="792" w:type="pct"/>
            <w:tcBorders>
              <w:top w:val="nil"/>
              <w:left w:val="nil"/>
              <w:bottom w:val="single" w:sz="4" w:space="0" w:color="auto"/>
              <w:right w:val="single" w:sz="4" w:space="0" w:color="auto"/>
            </w:tcBorders>
            <w:shd w:val="clear" w:color="auto" w:fill="auto"/>
            <w:vAlign w:val="center"/>
            <w:hideMark/>
          </w:tcPr>
          <w:p w:rsidR="00E56D53" w:rsidRPr="00E56D53" w:rsidRDefault="00E56D53" w:rsidP="00E56D53">
            <w:pPr>
              <w:spacing w:after="0" w:line="240" w:lineRule="auto"/>
              <w:jc w:val="center"/>
              <w:rPr>
                <w:rFonts w:ascii="Times New Roman" w:eastAsia="Times New Roman" w:hAnsi="Times New Roman" w:cs="Times New Roman"/>
                <w:color w:val="000000"/>
                <w:sz w:val="20"/>
                <w:szCs w:val="20"/>
                <w:lang w:eastAsia="ru-RU"/>
              </w:rPr>
            </w:pPr>
            <w:r w:rsidRPr="00E56D5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8"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23"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c>
          <w:tcPr>
            <w:tcW w:w="305" w:type="pct"/>
            <w:vMerge/>
            <w:tcBorders>
              <w:top w:val="nil"/>
              <w:left w:val="single" w:sz="4" w:space="0" w:color="auto"/>
              <w:bottom w:val="single" w:sz="4" w:space="0" w:color="auto"/>
              <w:right w:val="single" w:sz="4" w:space="0" w:color="auto"/>
            </w:tcBorders>
            <w:vAlign w:val="center"/>
            <w:hideMark/>
          </w:tcPr>
          <w:p w:rsidR="00E56D53" w:rsidRPr="00E56D53" w:rsidRDefault="00E56D53" w:rsidP="00E56D53">
            <w:pPr>
              <w:spacing w:after="0" w:line="240" w:lineRule="auto"/>
              <w:rPr>
                <w:rFonts w:ascii="Times New Roman" w:eastAsia="Times New Roman" w:hAnsi="Times New Roman" w:cs="Times New Roman"/>
                <w:color w:val="000000"/>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E56D53">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26C" w:rsidRDefault="0080726C">
      <w:pPr>
        <w:spacing w:after="0" w:line="240" w:lineRule="auto"/>
      </w:pPr>
      <w:r>
        <w:separator/>
      </w:r>
    </w:p>
  </w:endnote>
  <w:endnote w:type="continuationSeparator" w:id="0">
    <w:p w:rsidR="0080726C" w:rsidRDefault="0080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2CD9" w:rsidRDefault="00E82CD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2CD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82CD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2CD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2CD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6D5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2CD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6D5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26C" w:rsidRDefault="0080726C">
      <w:pPr>
        <w:spacing w:after="0" w:line="240" w:lineRule="auto"/>
      </w:pPr>
      <w:r>
        <w:separator/>
      </w:r>
    </w:p>
  </w:footnote>
  <w:footnote w:type="continuationSeparator" w:id="0">
    <w:p w:rsidR="0080726C" w:rsidRDefault="0080726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2CD9" w:rsidRDefault="00E82CD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2CD9" w:rsidRDefault="00E82CD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2CD9" w:rsidRDefault="00E82CD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26C"/>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56D53"/>
    <w:rsid w:val="00E70CD9"/>
    <w:rsid w:val="00E71162"/>
    <w:rsid w:val="00E768F9"/>
    <w:rsid w:val="00E76E96"/>
    <w:rsid w:val="00E80564"/>
    <w:rsid w:val="00E81B61"/>
    <w:rsid w:val="00E82CD9"/>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3C801B-BF6A-4110-9272-3561CC79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xl63">
    <w:name w:val="xl63"/>
    <w:basedOn w:val="a0"/>
    <w:rsid w:val="00E56D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0"/>
    <w:rsid w:val="00E56D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E56D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E56D5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E56D5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E56D5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0"/>
    <w:rsid w:val="00E56D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0"/>
    <w:rsid w:val="00E56D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0"/>
    <w:rsid w:val="00E56D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0"/>
    <w:rsid w:val="00E56D5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0"/>
    <w:rsid w:val="00E56D5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0"/>
    <w:rsid w:val="00E56D53"/>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0"/>
    <w:rsid w:val="00E56D5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0"/>
    <w:rsid w:val="00E56D53"/>
    <w:pPr>
      <w:pBdr>
        <w:top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0"/>
    <w:rsid w:val="00E56D5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0"/>
    <w:rsid w:val="00E56D5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7">
    <w:name w:val="xl87"/>
    <w:basedOn w:val="a0"/>
    <w:rsid w:val="00E56D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88">
    <w:name w:val="xl88"/>
    <w:basedOn w:val="a0"/>
    <w:rsid w:val="00E56D5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rsid w:val="00E56D5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rsid w:val="00E56D5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rsid w:val="00E56D5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0"/>
    <w:rsid w:val="00E56D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5498">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DF24-A4AC-46E2-A47B-1D01C83B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2773</Words>
  <Characters>15809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2025-11-12T08:51:00Z</dcterms:created>
  <dcterms:modified xsi:type="dcterms:W3CDTF">2025-11-12T08:51:00Z</dcterms:modified>
</cp:coreProperties>
</file>