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31.03.2026 № 21.1-03/650</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07.04.2026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D539D0">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FD4A24">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реактивов для научной лаборатории субклеточных технологий с группой онкоэндокринологии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FD4A2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FD4A2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FD4A2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FD4A2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в течение 30 (тридцати) календарных дней с момента подписания контракта. </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FD4A2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FD4A2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без 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FD4A2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FD4A2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не менее 6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FD4A2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FD4A2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FD4A2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FD4A24">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FD4A2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 или СТ-1)</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FD4A2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1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2618"/>
        <w:gridCol w:w="5223"/>
        <w:gridCol w:w="1095"/>
        <w:gridCol w:w="943"/>
        <w:gridCol w:w="1556"/>
        <w:gridCol w:w="1402"/>
        <w:gridCol w:w="791"/>
        <w:gridCol w:w="1092"/>
        <w:gridCol w:w="1110"/>
      </w:tblGrid>
      <w:tr w:rsidR="00FD4A24" w:rsidRPr="00320132" w:rsidTr="009D2B73">
        <w:trPr>
          <w:trHeight w:val="524"/>
          <w:jc w:val="center"/>
        </w:trPr>
        <w:tc>
          <w:tcPr>
            <w:tcW w:w="482" w:type="dxa"/>
            <w:vAlign w:val="center"/>
            <w:hideMark/>
          </w:tcPr>
          <w:p w:rsidR="00FD4A24" w:rsidRPr="000110AC" w:rsidRDefault="00FD4A24" w:rsidP="009D2B73">
            <w:pPr>
              <w:pStyle w:val="af7"/>
              <w:jc w:val="center"/>
              <w:rPr>
                <w:rFonts w:ascii="Times New Roman" w:hAnsi="Times New Roman"/>
                <w:b/>
                <w:sz w:val="20"/>
                <w:szCs w:val="20"/>
              </w:rPr>
            </w:pPr>
            <w:r w:rsidRPr="000110AC">
              <w:rPr>
                <w:rFonts w:ascii="Times New Roman" w:hAnsi="Times New Roman"/>
                <w:b/>
                <w:sz w:val="20"/>
                <w:szCs w:val="20"/>
              </w:rPr>
              <w:t>№ п/п</w:t>
            </w:r>
          </w:p>
        </w:tc>
        <w:tc>
          <w:tcPr>
            <w:tcW w:w="2618" w:type="dxa"/>
            <w:vAlign w:val="center"/>
            <w:hideMark/>
          </w:tcPr>
          <w:p w:rsidR="00FD4A24" w:rsidRPr="000110AC" w:rsidRDefault="00FD4A24" w:rsidP="009D2B73">
            <w:pPr>
              <w:pStyle w:val="af7"/>
              <w:jc w:val="center"/>
              <w:rPr>
                <w:rFonts w:ascii="Times New Roman" w:hAnsi="Times New Roman"/>
                <w:b/>
                <w:sz w:val="20"/>
                <w:szCs w:val="20"/>
              </w:rPr>
            </w:pPr>
            <w:r w:rsidRPr="000110AC">
              <w:rPr>
                <w:rFonts w:ascii="Times New Roman" w:hAnsi="Times New Roman"/>
                <w:b/>
                <w:sz w:val="20"/>
                <w:szCs w:val="20"/>
              </w:rPr>
              <w:t>Наименование товара</w:t>
            </w:r>
          </w:p>
        </w:tc>
        <w:tc>
          <w:tcPr>
            <w:tcW w:w="5223" w:type="dxa"/>
            <w:vAlign w:val="center"/>
            <w:hideMark/>
          </w:tcPr>
          <w:p w:rsidR="00FD4A24" w:rsidRPr="000110AC" w:rsidRDefault="00FD4A24" w:rsidP="009D2B73">
            <w:pPr>
              <w:pStyle w:val="af7"/>
              <w:jc w:val="center"/>
              <w:rPr>
                <w:rFonts w:ascii="Times New Roman" w:hAnsi="Times New Roman"/>
                <w:b/>
                <w:sz w:val="20"/>
                <w:szCs w:val="20"/>
              </w:rPr>
            </w:pPr>
            <w:r w:rsidRPr="000110AC">
              <w:rPr>
                <w:rFonts w:ascii="Times New Roman" w:hAnsi="Times New Roman"/>
                <w:b/>
                <w:sz w:val="20"/>
                <w:szCs w:val="20"/>
              </w:rPr>
              <w:t>Требования к качеству, техническим и функциональным характеристикам товара</w:t>
            </w:r>
          </w:p>
        </w:tc>
        <w:tc>
          <w:tcPr>
            <w:tcW w:w="1095" w:type="dxa"/>
            <w:vAlign w:val="center"/>
          </w:tcPr>
          <w:p w:rsidR="00FD4A24" w:rsidRPr="000110AC" w:rsidRDefault="00FD4A24" w:rsidP="009D2B73">
            <w:pPr>
              <w:pStyle w:val="af7"/>
              <w:jc w:val="center"/>
              <w:rPr>
                <w:rFonts w:ascii="Times New Roman" w:hAnsi="Times New Roman"/>
                <w:b/>
                <w:sz w:val="20"/>
                <w:szCs w:val="20"/>
              </w:rPr>
            </w:pPr>
            <w:r w:rsidRPr="000110AC">
              <w:rPr>
                <w:rFonts w:ascii="Times New Roman" w:hAnsi="Times New Roman"/>
                <w:b/>
                <w:sz w:val="20"/>
                <w:szCs w:val="20"/>
              </w:rPr>
              <w:t>Кол-во</w:t>
            </w:r>
          </w:p>
        </w:tc>
        <w:tc>
          <w:tcPr>
            <w:tcW w:w="943" w:type="dxa"/>
            <w:vAlign w:val="center"/>
          </w:tcPr>
          <w:p w:rsidR="00FD4A24" w:rsidRPr="000110AC" w:rsidRDefault="00FD4A24" w:rsidP="009D2B73">
            <w:pPr>
              <w:pStyle w:val="af7"/>
              <w:jc w:val="center"/>
              <w:rPr>
                <w:rFonts w:ascii="Times New Roman" w:hAnsi="Times New Roman"/>
                <w:b/>
                <w:sz w:val="20"/>
                <w:szCs w:val="20"/>
              </w:rPr>
            </w:pPr>
            <w:r w:rsidRPr="000110AC">
              <w:rPr>
                <w:rFonts w:ascii="Times New Roman" w:hAnsi="Times New Roman"/>
                <w:b/>
                <w:sz w:val="20"/>
                <w:szCs w:val="20"/>
              </w:rPr>
              <w:t>Ед. изм.</w:t>
            </w:r>
          </w:p>
        </w:tc>
        <w:tc>
          <w:tcPr>
            <w:tcW w:w="1556" w:type="dxa"/>
            <w:vAlign w:val="center"/>
          </w:tcPr>
          <w:p w:rsidR="00FD4A24" w:rsidRPr="000110AC" w:rsidRDefault="00FD4A24" w:rsidP="009D2B73">
            <w:pPr>
              <w:pStyle w:val="af7"/>
              <w:jc w:val="center"/>
              <w:rPr>
                <w:rFonts w:ascii="Times New Roman" w:hAnsi="Times New Roman"/>
                <w:b/>
                <w:sz w:val="20"/>
                <w:szCs w:val="20"/>
              </w:rPr>
            </w:pPr>
            <w:r w:rsidRPr="000110AC">
              <w:rPr>
                <w:rFonts w:ascii="Times New Roman" w:hAnsi="Times New Roman"/>
                <w:b/>
                <w:sz w:val="20"/>
                <w:szCs w:val="20"/>
              </w:rPr>
              <w:t>ОКПД2/ КТРУ</w:t>
            </w:r>
          </w:p>
        </w:tc>
        <w:tc>
          <w:tcPr>
            <w:tcW w:w="1402" w:type="dxa"/>
            <w:shd w:val="clear" w:color="auto" w:fill="FFFFCC"/>
            <w:vAlign w:val="center"/>
          </w:tcPr>
          <w:p w:rsidR="00FD4A24" w:rsidRPr="000110AC" w:rsidRDefault="00FD4A24" w:rsidP="009D2B73">
            <w:pPr>
              <w:pStyle w:val="af7"/>
              <w:jc w:val="center"/>
              <w:rPr>
                <w:rFonts w:ascii="Times New Roman" w:hAnsi="Times New Roman"/>
                <w:b/>
                <w:sz w:val="20"/>
                <w:szCs w:val="20"/>
              </w:rPr>
            </w:pPr>
            <w:r w:rsidRPr="000110AC">
              <w:rPr>
                <w:rFonts w:ascii="Times New Roman" w:hAnsi="Times New Roman"/>
                <w:b/>
                <w:sz w:val="20"/>
                <w:szCs w:val="20"/>
              </w:rPr>
              <w:t>Страна происхождения</w:t>
            </w:r>
          </w:p>
        </w:tc>
        <w:tc>
          <w:tcPr>
            <w:tcW w:w="791" w:type="dxa"/>
            <w:shd w:val="clear" w:color="auto" w:fill="FFFFCC"/>
            <w:vAlign w:val="center"/>
          </w:tcPr>
          <w:p w:rsidR="00FD4A24" w:rsidRPr="00320132" w:rsidRDefault="00FD4A24" w:rsidP="009D2B73">
            <w:pPr>
              <w:pStyle w:val="af7"/>
              <w:jc w:val="center"/>
              <w:rPr>
                <w:rFonts w:ascii="Times New Roman" w:hAnsi="Times New Roman"/>
                <w:b/>
              </w:rPr>
            </w:pPr>
            <w:r w:rsidRPr="00320132">
              <w:rPr>
                <w:rFonts w:ascii="Times New Roman" w:hAnsi="Times New Roman"/>
                <w:b/>
              </w:rPr>
              <w:t>НДС %</w:t>
            </w:r>
          </w:p>
        </w:tc>
        <w:tc>
          <w:tcPr>
            <w:tcW w:w="1092" w:type="dxa"/>
            <w:shd w:val="clear" w:color="auto" w:fill="FFFFCC"/>
            <w:vAlign w:val="center"/>
          </w:tcPr>
          <w:p w:rsidR="00FD4A24" w:rsidRPr="00320132" w:rsidRDefault="00FD4A24" w:rsidP="009D2B73">
            <w:pPr>
              <w:pStyle w:val="af7"/>
              <w:jc w:val="center"/>
              <w:rPr>
                <w:rFonts w:ascii="Times New Roman" w:hAnsi="Times New Roman"/>
                <w:b/>
              </w:rPr>
            </w:pPr>
            <w:r>
              <w:rPr>
                <w:rFonts w:ascii="Times New Roman" w:hAnsi="Times New Roman"/>
                <w:b/>
              </w:rPr>
              <w:t>Цена за ед. с</w:t>
            </w:r>
            <w:r w:rsidRPr="00320132">
              <w:rPr>
                <w:rFonts w:ascii="Times New Roman" w:hAnsi="Times New Roman"/>
                <w:b/>
              </w:rPr>
              <w:t xml:space="preserve"> НДС (руб.)</w:t>
            </w:r>
          </w:p>
        </w:tc>
        <w:tc>
          <w:tcPr>
            <w:tcW w:w="1110" w:type="dxa"/>
            <w:shd w:val="clear" w:color="auto" w:fill="FFFFCC"/>
            <w:vAlign w:val="center"/>
          </w:tcPr>
          <w:p w:rsidR="00FD4A24" w:rsidRPr="00320132" w:rsidRDefault="00FD4A24" w:rsidP="009D2B73">
            <w:pPr>
              <w:pStyle w:val="af7"/>
              <w:jc w:val="center"/>
              <w:rPr>
                <w:rFonts w:ascii="Times New Roman" w:hAnsi="Times New Roman"/>
                <w:b/>
              </w:rPr>
            </w:pPr>
            <w:r>
              <w:rPr>
                <w:rFonts w:ascii="Times New Roman" w:hAnsi="Times New Roman"/>
                <w:b/>
              </w:rPr>
              <w:t>Сумма с</w:t>
            </w:r>
          </w:p>
          <w:p w:rsidR="00FD4A24" w:rsidRPr="00320132" w:rsidRDefault="00FD4A24" w:rsidP="009D2B73">
            <w:pPr>
              <w:pStyle w:val="af7"/>
              <w:jc w:val="center"/>
              <w:rPr>
                <w:rFonts w:ascii="Times New Roman" w:hAnsi="Times New Roman"/>
                <w:b/>
              </w:rPr>
            </w:pPr>
            <w:r w:rsidRPr="00320132">
              <w:rPr>
                <w:rFonts w:ascii="Times New Roman" w:hAnsi="Times New Roman"/>
                <w:b/>
              </w:rPr>
              <w:t>НДС (руб.)</w:t>
            </w:r>
          </w:p>
        </w:tc>
      </w:tr>
      <w:tr w:rsidR="00FD4A24" w:rsidRPr="00E070B2" w:rsidTr="009D2B73">
        <w:trPr>
          <w:trHeight w:val="20"/>
          <w:jc w:val="center"/>
        </w:trPr>
        <w:tc>
          <w:tcPr>
            <w:tcW w:w="482" w:type="dxa"/>
          </w:tcPr>
          <w:p w:rsidR="00FD4A24" w:rsidRPr="00DD062B" w:rsidRDefault="00FD4A24" w:rsidP="009D2B73">
            <w:pPr>
              <w:pStyle w:val="af7"/>
              <w:rPr>
                <w:rFonts w:ascii="Times New Roman" w:hAnsi="Times New Roman"/>
              </w:rPr>
            </w:pPr>
            <w:r w:rsidRPr="00DD062B">
              <w:rPr>
                <w:rFonts w:ascii="Times New Roman" w:hAnsi="Times New Roman"/>
              </w:rPr>
              <w:t>1</w:t>
            </w:r>
          </w:p>
        </w:tc>
        <w:tc>
          <w:tcPr>
            <w:tcW w:w="2618" w:type="dxa"/>
          </w:tcPr>
          <w:p w:rsidR="00FD4A24" w:rsidRPr="00DD062B" w:rsidRDefault="00FD4A24" w:rsidP="009D2B73">
            <w:pPr>
              <w:pStyle w:val="af7"/>
              <w:jc w:val="center"/>
              <w:rPr>
                <w:rFonts w:ascii="Times New Roman" w:hAnsi="Times New Roman"/>
              </w:rPr>
            </w:pPr>
            <w:r w:rsidRPr="00FD4A24">
              <w:rPr>
                <w:rFonts w:ascii="Times New Roman" w:hAnsi="Times New Roman"/>
              </w:rPr>
              <w:t>Набор для проведения ПЦР-анализа</w:t>
            </w:r>
          </w:p>
        </w:tc>
        <w:tc>
          <w:tcPr>
            <w:tcW w:w="5223" w:type="dxa"/>
            <w:shd w:val="clear" w:color="auto" w:fill="FFFFFF" w:themeFill="background1"/>
          </w:tcPr>
          <w:p w:rsidR="00FD4A24" w:rsidRPr="00FD4A24" w:rsidRDefault="00FD4A24" w:rsidP="00FD4A24">
            <w:pPr>
              <w:pStyle w:val="af7"/>
              <w:rPr>
                <w:rFonts w:ascii="Times New Roman" w:hAnsi="Times New Roman"/>
              </w:rPr>
            </w:pPr>
            <w:r>
              <w:rPr>
                <w:rFonts w:ascii="Times New Roman" w:hAnsi="Times New Roman"/>
              </w:rPr>
              <w:t xml:space="preserve">Набор </w:t>
            </w:r>
            <w:r w:rsidRPr="00FD4A24">
              <w:rPr>
                <w:rFonts w:ascii="Times New Roman" w:hAnsi="Times New Roman"/>
              </w:rPr>
              <w:t>предназначен для проведения ПЦР-анализа большого количества образцов.</w:t>
            </w:r>
          </w:p>
          <w:p w:rsidR="00FD4A24" w:rsidRDefault="00FD4A24" w:rsidP="00FD4A24">
            <w:pPr>
              <w:pStyle w:val="af7"/>
              <w:rPr>
                <w:rFonts w:ascii="Times New Roman" w:hAnsi="Times New Roman"/>
              </w:rPr>
            </w:pPr>
            <w:r>
              <w:rPr>
                <w:rFonts w:ascii="Times New Roman" w:hAnsi="Times New Roman"/>
              </w:rPr>
              <w:t xml:space="preserve">Смесь </w:t>
            </w:r>
            <w:r w:rsidRPr="00FD4A24">
              <w:rPr>
                <w:rFonts w:ascii="Times New Roman" w:hAnsi="Times New Roman"/>
              </w:rPr>
              <w:t>оптимизирована для проведения эффективной и воспроизводимой ПЦР c “горячим” старто</w:t>
            </w:r>
            <w:r>
              <w:rPr>
                <w:rFonts w:ascii="Times New Roman" w:hAnsi="Times New Roman"/>
              </w:rPr>
              <w:t>м. Реакционная смесь</w:t>
            </w:r>
            <w:r w:rsidRPr="00FD4A24">
              <w:rPr>
                <w:rFonts w:ascii="Times New Roman" w:hAnsi="Times New Roman"/>
              </w:rPr>
              <w:t xml:space="preserve"> химическ</w:t>
            </w:r>
            <w:r>
              <w:rPr>
                <w:rFonts w:ascii="Times New Roman" w:hAnsi="Times New Roman"/>
              </w:rPr>
              <w:t>и стабильна, инертна и не меняет</w:t>
            </w:r>
            <w:r w:rsidRPr="00FD4A24">
              <w:rPr>
                <w:rFonts w:ascii="Times New Roman" w:hAnsi="Times New Roman"/>
              </w:rPr>
              <w:t xml:space="preserve"> оптимальной температуры отжига праймеров или характеристики плавления матрицы. ДНК-полимераза, входящая в её состав, должна быть неактивна при комнатной температуре. </w:t>
            </w:r>
          </w:p>
          <w:p w:rsidR="00FD4A24" w:rsidRPr="00FD4A24" w:rsidRDefault="00FD4A24" w:rsidP="00FD4A24">
            <w:pPr>
              <w:pStyle w:val="af7"/>
              <w:rPr>
                <w:rFonts w:ascii="Times New Roman" w:hAnsi="Times New Roman"/>
              </w:rPr>
            </w:pPr>
            <w:r w:rsidRPr="00FD4A24">
              <w:rPr>
                <w:rFonts w:ascii="Times New Roman" w:hAnsi="Times New Roman"/>
              </w:rPr>
              <w:t>Для её активации должен быть необходим прогрев реакционной смеси при температуре не менее 95 °С в течение 5 мин.</w:t>
            </w:r>
          </w:p>
          <w:p w:rsidR="00FD4A24" w:rsidRDefault="00FD4A24" w:rsidP="00FD4A24">
            <w:pPr>
              <w:pStyle w:val="af7"/>
              <w:rPr>
                <w:rFonts w:ascii="Times New Roman" w:hAnsi="Times New Roman"/>
              </w:rPr>
            </w:pPr>
            <w:r w:rsidRPr="00FD4A24">
              <w:rPr>
                <w:rFonts w:ascii="Times New Roman" w:hAnsi="Times New Roman"/>
              </w:rPr>
              <w:t>Кол-во реакций не менее 1020 по 50 мкл</w:t>
            </w:r>
            <w:r>
              <w:rPr>
                <w:rFonts w:ascii="Times New Roman" w:hAnsi="Times New Roman"/>
              </w:rPr>
              <w:t>.</w:t>
            </w:r>
          </w:p>
          <w:p w:rsidR="00FD4A24" w:rsidRPr="00FD4A24" w:rsidRDefault="008B299B" w:rsidP="00FD4A24">
            <w:pPr>
              <w:pStyle w:val="af7"/>
              <w:rPr>
                <w:rFonts w:ascii="Times New Roman" w:hAnsi="Times New Roman"/>
              </w:rPr>
            </w:pPr>
            <w:r>
              <w:rPr>
                <w:rFonts w:ascii="Times New Roman" w:hAnsi="Times New Roman"/>
              </w:rPr>
              <w:t>В состав набора входит:</w:t>
            </w:r>
          </w:p>
          <w:p w:rsidR="00FD4A24" w:rsidRPr="00FD4A24" w:rsidRDefault="00FD4A24" w:rsidP="00FD4A24">
            <w:pPr>
              <w:pStyle w:val="af7"/>
              <w:rPr>
                <w:rFonts w:ascii="Times New Roman" w:hAnsi="Times New Roman"/>
              </w:rPr>
            </w:pPr>
            <w:r w:rsidRPr="00FD4A24">
              <w:rPr>
                <w:rFonts w:ascii="Times New Roman" w:hAnsi="Times New Roman"/>
              </w:rPr>
              <w:t>•   Реакционная смесь HS-Taq ПЦР (2×) в пробирках объемом не менее 1,5 мл – кол-во не менее 17 шт</w:t>
            </w:r>
          </w:p>
          <w:p w:rsidR="00FD4A24" w:rsidRPr="00FD4A24" w:rsidRDefault="00FD4A24" w:rsidP="00FD4A24">
            <w:pPr>
              <w:pStyle w:val="af7"/>
              <w:rPr>
                <w:rFonts w:ascii="Times New Roman" w:hAnsi="Times New Roman"/>
              </w:rPr>
            </w:pPr>
            <w:r w:rsidRPr="00FD4A24">
              <w:rPr>
                <w:rFonts w:ascii="Times New Roman" w:hAnsi="Times New Roman"/>
              </w:rPr>
              <w:t>•   MgCl2 концентрацией не менее 50 мМ в пробирках объемом не менее 1,8 мл – кол-во не менее 1 шт.</w:t>
            </w:r>
          </w:p>
          <w:p w:rsidR="00FD4A24" w:rsidRPr="00FD4A24" w:rsidRDefault="00FD4A24" w:rsidP="00FD4A24">
            <w:pPr>
              <w:pStyle w:val="af7"/>
              <w:rPr>
                <w:rFonts w:ascii="Times New Roman" w:hAnsi="Times New Roman"/>
              </w:rPr>
            </w:pPr>
            <w:r w:rsidRPr="00FD4A24">
              <w:rPr>
                <w:rFonts w:ascii="Times New Roman" w:hAnsi="Times New Roman"/>
              </w:rPr>
              <w:t>•   6×буфер для нанесения на гель в пробирках объемом не менее 1,8 мл – кол-во не менее 2 шт</w:t>
            </w:r>
          </w:p>
          <w:p w:rsidR="00FD4A24" w:rsidRPr="00FD4A24" w:rsidRDefault="00FD4A24" w:rsidP="00FD4A24">
            <w:pPr>
              <w:pStyle w:val="af7"/>
              <w:rPr>
                <w:rFonts w:ascii="Times New Roman" w:hAnsi="Times New Roman"/>
              </w:rPr>
            </w:pPr>
            <w:r w:rsidRPr="00FD4A24">
              <w:rPr>
                <w:rFonts w:ascii="Times New Roman" w:hAnsi="Times New Roman"/>
              </w:rPr>
              <w:t>В состав 2х реакционной смеси должны входить:</w:t>
            </w:r>
          </w:p>
          <w:p w:rsidR="00FD4A24" w:rsidRPr="00FD4A24" w:rsidRDefault="00FD4A24" w:rsidP="00FD4A24">
            <w:pPr>
              <w:pStyle w:val="af7"/>
              <w:rPr>
                <w:rFonts w:ascii="Times New Roman" w:hAnsi="Times New Roman"/>
              </w:rPr>
            </w:pPr>
            <w:r w:rsidRPr="00FD4A24">
              <w:rPr>
                <w:rFonts w:ascii="Times New Roman" w:hAnsi="Times New Roman"/>
              </w:rPr>
              <w:t>•   Трис-НCl концентрацией не менее 100 мM,</w:t>
            </w:r>
          </w:p>
          <w:p w:rsidR="00FD4A24" w:rsidRPr="00FD4A24" w:rsidRDefault="00FD4A24" w:rsidP="00FD4A24">
            <w:pPr>
              <w:pStyle w:val="af7"/>
              <w:rPr>
                <w:rFonts w:ascii="Times New Roman" w:hAnsi="Times New Roman"/>
              </w:rPr>
            </w:pPr>
            <w:r w:rsidRPr="00FD4A24">
              <w:rPr>
                <w:rFonts w:ascii="Times New Roman" w:hAnsi="Times New Roman"/>
              </w:rPr>
              <w:t>•   рН не менее 8.5 (при 25 °С),</w:t>
            </w:r>
          </w:p>
          <w:p w:rsidR="00FD4A24" w:rsidRPr="00FD4A24" w:rsidRDefault="00FD4A24" w:rsidP="00FD4A24">
            <w:pPr>
              <w:pStyle w:val="af7"/>
              <w:rPr>
                <w:rFonts w:ascii="Times New Roman" w:hAnsi="Times New Roman"/>
              </w:rPr>
            </w:pPr>
            <w:r w:rsidRPr="00FD4A24">
              <w:rPr>
                <w:rFonts w:ascii="Times New Roman" w:hAnsi="Times New Roman"/>
              </w:rPr>
              <w:t>•   KCl концентрацией не менее 100 мM,</w:t>
            </w:r>
          </w:p>
          <w:p w:rsidR="00FD4A24" w:rsidRPr="00FD4A24" w:rsidRDefault="00FD4A24" w:rsidP="00FD4A24">
            <w:pPr>
              <w:pStyle w:val="af7"/>
              <w:rPr>
                <w:rFonts w:ascii="Times New Roman" w:hAnsi="Times New Roman"/>
              </w:rPr>
            </w:pPr>
            <w:r w:rsidRPr="00FD4A24">
              <w:rPr>
                <w:rFonts w:ascii="Times New Roman" w:hAnsi="Times New Roman"/>
              </w:rPr>
              <w:t>•   не менее 0.4 мМ каждого дезоксинуклеозидтрифосфата,</w:t>
            </w:r>
          </w:p>
          <w:p w:rsidR="00FD4A24" w:rsidRPr="00FD4A24" w:rsidRDefault="00FD4A24" w:rsidP="00FD4A24">
            <w:pPr>
              <w:pStyle w:val="af7"/>
              <w:rPr>
                <w:rFonts w:ascii="Times New Roman" w:hAnsi="Times New Roman"/>
              </w:rPr>
            </w:pPr>
            <w:r w:rsidRPr="00FD4A24">
              <w:rPr>
                <w:rFonts w:ascii="Times New Roman" w:hAnsi="Times New Roman"/>
              </w:rPr>
              <w:t>•   MgCl2 концентрацией не менее 4 мМ,</w:t>
            </w:r>
          </w:p>
          <w:p w:rsidR="00FD4A24" w:rsidRPr="00FD4A24" w:rsidRDefault="00FD4A24" w:rsidP="00FD4A24">
            <w:pPr>
              <w:pStyle w:val="af7"/>
              <w:rPr>
                <w:rFonts w:ascii="Times New Roman" w:hAnsi="Times New Roman"/>
              </w:rPr>
            </w:pPr>
            <w:r w:rsidRPr="00FD4A24">
              <w:rPr>
                <w:rFonts w:ascii="Times New Roman" w:hAnsi="Times New Roman"/>
              </w:rPr>
              <w:t>•   Taq ДНК-полимеразы не менее 0.06 ед. акт./мкл,</w:t>
            </w:r>
          </w:p>
          <w:p w:rsidR="00FD4A24" w:rsidRPr="00FD4A24" w:rsidRDefault="00FD4A24" w:rsidP="00FD4A24">
            <w:pPr>
              <w:pStyle w:val="af7"/>
              <w:rPr>
                <w:rFonts w:ascii="Times New Roman" w:hAnsi="Times New Roman"/>
              </w:rPr>
            </w:pPr>
            <w:r w:rsidRPr="00FD4A24">
              <w:rPr>
                <w:rFonts w:ascii="Times New Roman" w:hAnsi="Times New Roman"/>
              </w:rPr>
              <w:t>•   не менее 0.2% Tween 20,</w:t>
            </w:r>
          </w:p>
          <w:p w:rsidR="00FD4A24" w:rsidRPr="0094293B" w:rsidRDefault="00FD4A24" w:rsidP="00FD4A24">
            <w:pPr>
              <w:pStyle w:val="af7"/>
              <w:rPr>
                <w:rFonts w:ascii="Times New Roman" w:hAnsi="Times New Roman"/>
              </w:rPr>
            </w:pPr>
            <w:r w:rsidRPr="00FD4A24">
              <w:rPr>
                <w:rFonts w:ascii="Times New Roman" w:hAnsi="Times New Roman"/>
              </w:rPr>
              <w:t>•   стабилизаторы HS-Taq ДНК-полимеразы</w:t>
            </w:r>
          </w:p>
        </w:tc>
        <w:tc>
          <w:tcPr>
            <w:tcW w:w="1095" w:type="dxa"/>
          </w:tcPr>
          <w:p w:rsidR="00FD4A24" w:rsidRPr="00E070B2" w:rsidRDefault="00FD4A24" w:rsidP="009D2B73">
            <w:pPr>
              <w:pStyle w:val="af7"/>
              <w:jc w:val="center"/>
              <w:rPr>
                <w:rFonts w:ascii="Times New Roman" w:hAnsi="Times New Roman"/>
              </w:rPr>
            </w:pPr>
            <w:r>
              <w:rPr>
                <w:rFonts w:ascii="Times New Roman" w:hAnsi="Times New Roman"/>
              </w:rPr>
              <w:t>10</w:t>
            </w:r>
          </w:p>
        </w:tc>
        <w:tc>
          <w:tcPr>
            <w:tcW w:w="943" w:type="dxa"/>
          </w:tcPr>
          <w:p w:rsidR="00FD4A24" w:rsidRPr="00E070B2" w:rsidRDefault="00FD4A24" w:rsidP="009D2B73">
            <w:pPr>
              <w:pStyle w:val="af7"/>
              <w:jc w:val="center"/>
              <w:rPr>
                <w:rFonts w:ascii="Times New Roman" w:hAnsi="Times New Roman"/>
              </w:rPr>
            </w:pPr>
            <w:r>
              <w:rPr>
                <w:rFonts w:ascii="Times New Roman" w:hAnsi="Times New Roman"/>
              </w:rPr>
              <w:t>упак</w:t>
            </w:r>
          </w:p>
        </w:tc>
        <w:tc>
          <w:tcPr>
            <w:tcW w:w="1556" w:type="dxa"/>
          </w:tcPr>
          <w:p w:rsidR="00FD4A24" w:rsidRPr="00E070B2" w:rsidRDefault="00FD4A24" w:rsidP="009D2B73">
            <w:pPr>
              <w:pStyle w:val="af7"/>
              <w:jc w:val="center"/>
              <w:rPr>
                <w:rFonts w:ascii="Times New Roman" w:hAnsi="Times New Roman"/>
              </w:rPr>
            </w:pPr>
            <w:r>
              <w:rPr>
                <w:rFonts w:ascii="Times New Roman" w:hAnsi="Times New Roman"/>
              </w:rPr>
              <w:t>20.59.52.199</w:t>
            </w:r>
          </w:p>
        </w:tc>
        <w:tc>
          <w:tcPr>
            <w:tcW w:w="1402" w:type="dxa"/>
            <w:shd w:val="clear" w:color="auto" w:fill="FFFFCC"/>
          </w:tcPr>
          <w:p w:rsidR="00FD4A24" w:rsidRPr="00E070B2" w:rsidRDefault="00FD4A24" w:rsidP="009D2B73">
            <w:pPr>
              <w:pStyle w:val="af7"/>
              <w:rPr>
                <w:rFonts w:ascii="Times New Roman" w:hAnsi="Times New Roman"/>
              </w:rPr>
            </w:pPr>
          </w:p>
        </w:tc>
        <w:tc>
          <w:tcPr>
            <w:tcW w:w="791" w:type="dxa"/>
            <w:shd w:val="clear" w:color="auto" w:fill="FFFFCC"/>
          </w:tcPr>
          <w:p w:rsidR="00FD4A24" w:rsidRPr="00E070B2" w:rsidRDefault="00FD4A24" w:rsidP="009D2B73">
            <w:pPr>
              <w:pStyle w:val="af7"/>
              <w:rPr>
                <w:rFonts w:ascii="Times New Roman" w:hAnsi="Times New Roman"/>
              </w:rPr>
            </w:pPr>
          </w:p>
        </w:tc>
        <w:tc>
          <w:tcPr>
            <w:tcW w:w="1092" w:type="dxa"/>
            <w:shd w:val="clear" w:color="auto" w:fill="FFFFCC"/>
          </w:tcPr>
          <w:p w:rsidR="00FD4A24" w:rsidRPr="00E070B2" w:rsidRDefault="00FD4A24" w:rsidP="009D2B73">
            <w:pPr>
              <w:pStyle w:val="af7"/>
              <w:rPr>
                <w:rFonts w:ascii="Times New Roman" w:hAnsi="Times New Roman"/>
              </w:rPr>
            </w:pPr>
          </w:p>
        </w:tc>
        <w:tc>
          <w:tcPr>
            <w:tcW w:w="1110" w:type="dxa"/>
            <w:shd w:val="clear" w:color="auto" w:fill="FFFFCC"/>
          </w:tcPr>
          <w:p w:rsidR="00FD4A24" w:rsidRPr="00E070B2" w:rsidRDefault="00FD4A24" w:rsidP="009D2B73">
            <w:pPr>
              <w:pStyle w:val="af7"/>
              <w:rPr>
                <w:rFonts w:ascii="Times New Roman" w:hAnsi="Times New Roman"/>
              </w:rPr>
            </w:pPr>
          </w:p>
        </w:tc>
      </w:tr>
    </w:tbl>
    <w:p w:rsidR="00170252" w:rsidRDefault="00170252" w:rsidP="000820E3">
      <w:pPr>
        <w:rPr>
          <w:rFonts w:ascii="Times New Roman" w:hAnsi="Times New Roman" w:cs="Times New Roman"/>
          <w:b/>
          <w:sz w:val="28"/>
          <w:szCs w:val="28"/>
        </w:rPr>
      </w:pPr>
    </w:p>
    <w:sectPr w:rsidR="00170252" w:rsidSect="00FD4A24">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4C7" w:rsidRDefault="00F144C7">
      <w:pPr>
        <w:spacing w:after="0" w:line="240" w:lineRule="auto"/>
      </w:pPr>
      <w:r>
        <w:separator/>
      </w:r>
    </w:p>
  </w:endnote>
  <w:endnote w:type="continuationSeparator" w:id="0">
    <w:p w:rsidR="00F144C7" w:rsidRDefault="00F14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539D0" w:rsidRDefault="00D539D0">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D539D0">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D539D0">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D539D0">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D539D0">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D539D0">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B299B">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4C7" w:rsidRDefault="00F144C7">
      <w:pPr>
        <w:spacing w:after="0" w:line="240" w:lineRule="auto"/>
      </w:pPr>
      <w:r>
        <w:separator/>
      </w:r>
    </w:p>
  </w:footnote>
  <w:footnote w:type="continuationSeparator" w:id="0">
    <w:p w:rsidR="00F144C7" w:rsidRDefault="00F144C7">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539D0" w:rsidRDefault="00D539D0">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539D0" w:rsidRDefault="00D539D0">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539D0" w:rsidRDefault="00D539D0">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299B"/>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8688C"/>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539D0"/>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44C7"/>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D4A24"/>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40604-ABCB-469E-BC60-92EDB10EE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1031</Words>
  <Characters>5883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2026-03-31T13:59:00Z</dcterms:created>
  <dcterms:modified xsi:type="dcterms:W3CDTF">2026-03-31T13:59:00Z</dcterms:modified>
</cp:coreProperties>
</file>