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01.04.2026 № 05-07/664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309B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006B2380">
              <w:rPr>
                <w:rFonts w:ascii="Times New Roman" w:hAnsi="Times New Roman" w:cs="Times New Roman"/>
                <w:noProof/>
                <w:sz w:val="24"/>
                <w:szCs w:val="24"/>
              </w:rPr>
              <w:t>а</w:t>
            </w:r>
            <w:r w:rsidRPr="00C15FD9">
              <w:rPr>
                <w:rFonts w:ascii="Times New Roman" w:hAnsi="Times New Roman" w:cs="Times New Roman"/>
                <w:noProof/>
                <w:sz w:val="24"/>
                <w:szCs w:val="24"/>
              </w:rPr>
              <w:t>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363"/>
        <w:gridCol w:w="2444"/>
        <w:gridCol w:w="987"/>
        <w:gridCol w:w="1520"/>
        <w:gridCol w:w="2684"/>
        <w:gridCol w:w="1572"/>
        <w:gridCol w:w="1145"/>
        <w:gridCol w:w="1312"/>
        <w:gridCol w:w="835"/>
        <w:gridCol w:w="1139"/>
        <w:gridCol w:w="623"/>
        <w:gridCol w:w="712"/>
        <w:gridCol w:w="613"/>
      </w:tblGrid>
      <w:tr w:rsidR="000D6796" w:rsidRPr="000D6796" w:rsidTr="000D6796">
        <w:trPr>
          <w:trHeight w:val="20"/>
        </w:trPr>
        <w:tc>
          <w:tcPr>
            <w:tcW w:w="1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6796" w:rsidRPr="000D6796" w:rsidRDefault="000D6796" w:rsidP="000D6796">
            <w:pPr>
              <w:spacing w:after="0" w:line="240" w:lineRule="auto"/>
              <w:jc w:val="center"/>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пп</w:t>
            </w:r>
          </w:p>
        </w:tc>
        <w:tc>
          <w:tcPr>
            <w:tcW w:w="7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6796" w:rsidRPr="000D6796" w:rsidRDefault="000D6796" w:rsidP="000D6796">
            <w:pPr>
              <w:spacing w:after="0" w:line="240" w:lineRule="auto"/>
              <w:jc w:val="center"/>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Наименование товара, работы, услуги</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6796" w:rsidRPr="000D6796" w:rsidRDefault="000D6796" w:rsidP="000D6796">
            <w:pPr>
              <w:spacing w:after="0" w:line="240" w:lineRule="auto"/>
              <w:jc w:val="center"/>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Код позиции</w:t>
            </w:r>
          </w:p>
        </w:tc>
        <w:tc>
          <w:tcPr>
            <w:tcW w:w="2170" w:type="pct"/>
            <w:gridSpan w:val="4"/>
            <w:tcBorders>
              <w:top w:val="single" w:sz="4" w:space="0" w:color="auto"/>
              <w:left w:val="nil"/>
              <w:bottom w:val="single" w:sz="4" w:space="0" w:color="auto"/>
              <w:right w:val="single" w:sz="4" w:space="0" w:color="auto"/>
            </w:tcBorders>
            <w:shd w:val="clear" w:color="auto" w:fill="auto"/>
            <w:vAlign w:val="center"/>
            <w:hideMark/>
          </w:tcPr>
          <w:p w:rsidR="000D6796" w:rsidRPr="000D6796" w:rsidRDefault="000D6796" w:rsidP="000D6796">
            <w:pPr>
              <w:spacing w:after="0" w:line="240" w:lineRule="auto"/>
              <w:jc w:val="center"/>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Характеристики товара, работы, услуги</w:t>
            </w:r>
          </w:p>
        </w:tc>
        <w:tc>
          <w:tcPr>
            <w:tcW w:w="4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6796" w:rsidRPr="000D6796" w:rsidRDefault="000D6796" w:rsidP="000D6796">
            <w:pPr>
              <w:spacing w:after="0" w:line="240" w:lineRule="auto"/>
              <w:jc w:val="center"/>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Количество(объем работы, услуги)</w:t>
            </w:r>
          </w:p>
        </w:tc>
        <w:tc>
          <w:tcPr>
            <w:tcW w:w="2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6796" w:rsidRPr="000D6796" w:rsidRDefault="000D6796" w:rsidP="000D6796">
            <w:pPr>
              <w:spacing w:after="0" w:line="240" w:lineRule="auto"/>
              <w:jc w:val="center"/>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Единица измерения</w:t>
            </w:r>
          </w:p>
        </w:tc>
        <w:tc>
          <w:tcPr>
            <w:tcW w:w="357" w:type="pct"/>
            <w:tcBorders>
              <w:top w:val="single" w:sz="4" w:space="0" w:color="auto"/>
              <w:left w:val="nil"/>
              <w:bottom w:val="single" w:sz="4" w:space="0" w:color="auto"/>
              <w:right w:val="single" w:sz="4" w:space="0" w:color="auto"/>
            </w:tcBorders>
            <w:shd w:val="clear" w:color="auto" w:fill="auto"/>
            <w:vAlign w:val="center"/>
            <w:hideMark/>
          </w:tcPr>
          <w:p w:rsidR="000D6796" w:rsidRPr="000D6796" w:rsidRDefault="000D6796" w:rsidP="000D6796">
            <w:pPr>
              <w:spacing w:after="0" w:line="240" w:lineRule="auto"/>
              <w:jc w:val="center"/>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Страна происхождения товара</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0D6796" w:rsidRPr="000D6796" w:rsidRDefault="000D6796" w:rsidP="000D6796">
            <w:pPr>
              <w:spacing w:after="0" w:line="240" w:lineRule="auto"/>
              <w:jc w:val="center"/>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Ставка НДС%</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6796" w:rsidRPr="000D6796" w:rsidRDefault="000D6796" w:rsidP="000D6796">
            <w:pPr>
              <w:spacing w:after="0" w:line="240" w:lineRule="auto"/>
              <w:jc w:val="center"/>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Цена за единицу без НДС</w:t>
            </w:r>
          </w:p>
        </w:tc>
        <w:tc>
          <w:tcPr>
            <w:tcW w:w="1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6796" w:rsidRPr="000D6796" w:rsidRDefault="000D6796" w:rsidP="000D6796">
            <w:pPr>
              <w:spacing w:after="0" w:line="240" w:lineRule="auto"/>
              <w:jc w:val="center"/>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Сумма без НДС</w:t>
            </w:r>
          </w:p>
        </w:tc>
      </w:tr>
      <w:tr w:rsidR="000D6796" w:rsidRPr="000D6796" w:rsidTr="000D6796">
        <w:trPr>
          <w:trHeight w:val="20"/>
        </w:trPr>
        <w:tc>
          <w:tcPr>
            <w:tcW w:w="114" w:type="pct"/>
            <w:vMerge/>
            <w:tcBorders>
              <w:top w:val="single" w:sz="4" w:space="0" w:color="auto"/>
              <w:left w:val="single" w:sz="4" w:space="0" w:color="auto"/>
              <w:bottom w:val="single" w:sz="4" w:space="0" w:color="auto"/>
              <w:right w:val="single" w:sz="4" w:space="0" w:color="auto"/>
            </w:tcBorders>
            <w:vAlign w:val="center"/>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p>
        </w:tc>
        <w:tc>
          <w:tcPr>
            <w:tcW w:w="766" w:type="pct"/>
            <w:vMerge/>
            <w:tcBorders>
              <w:top w:val="single" w:sz="4" w:space="0" w:color="auto"/>
              <w:left w:val="single" w:sz="4" w:space="0" w:color="auto"/>
              <w:bottom w:val="single" w:sz="4" w:space="0" w:color="auto"/>
              <w:right w:val="single" w:sz="4" w:space="0" w:color="auto"/>
            </w:tcBorders>
            <w:vAlign w:val="center"/>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p>
        </w:tc>
        <w:tc>
          <w:tcPr>
            <w:tcW w:w="666" w:type="pct"/>
            <w:tcBorders>
              <w:top w:val="nil"/>
              <w:left w:val="nil"/>
              <w:bottom w:val="single" w:sz="4" w:space="0" w:color="auto"/>
              <w:right w:val="single" w:sz="4" w:space="0" w:color="auto"/>
            </w:tcBorders>
            <w:shd w:val="clear" w:color="auto" w:fill="auto"/>
            <w:vAlign w:val="center"/>
            <w:hideMark/>
          </w:tcPr>
          <w:p w:rsidR="000D6796" w:rsidRPr="000D6796" w:rsidRDefault="000D6796" w:rsidP="000D6796">
            <w:pPr>
              <w:spacing w:after="0" w:line="240" w:lineRule="auto"/>
              <w:jc w:val="center"/>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Наименование характеристики</w:t>
            </w:r>
          </w:p>
        </w:tc>
        <w:tc>
          <w:tcPr>
            <w:tcW w:w="651" w:type="pct"/>
            <w:tcBorders>
              <w:top w:val="nil"/>
              <w:left w:val="nil"/>
              <w:bottom w:val="single" w:sz="4" w:space="0" w:color="auto"/>
              <w:right w:val="single" w:sz="4" w:space="0" w:color="auto"/>
            </w:tcBorders>
            <w:shd w:val="clear" w:color="auto" w:fill="auto"/>
            <w:vAlign w:val="center"/>
            <w:hideMark/>
          </w:tcPr>
          <w:p w:rsidR="000D6796" w:rsidRPr="000D6796" w:rsidRDefault="000D6796" w:rsidP="000D6796">
            <w:pPr>
              <w:spacing w:after="0" w:line="240" w:lineRule="auto"/>
              <w:jc w:val="center"/>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w:t>
            </w:r>
          </w:p>
        </w:tc>
        <w:tc>
          <w:tcPr>
            <w:tcW w:w="493" w:type="pct"/>
            <w:tcBorders>
              <w:top w:val="nil"/>
              <w:left w:val="nil"/>
              <w:bottom w:val="single" w:sz="4" w:space="0" w:color="auto"/>
              <w:right w:val="single" w:sz="4" w:space="0" w:color="auto"/>
            </w:tcBorders>
            <w:shd w:val="clear" w:color="auto" w:fill="auto"/>
            <w:vAlign w:val="center"/>
            <w:hideMark/>
          </w:tcPr>
          <w:p w:rsidR="000D6796" w:rsidRPr="000D6796" w:rsidRDefault="000D6796" w:rsidP="000D6796">
            <w:pPr>
              <w:spacing w:after="0" w:line="240" w:lineRule="auto"/>
              <w:jc w:val="center"/>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Единица измерения характеристики</w:t>
            </w:r>
          </w:p>
        </w:tc>
        <w:tc>
          <w:tcPr>
            <w:tcW w:w="359" w:type="pct"/>
            <w:tcBorders>
              <w:top w:val="nil"/>
              <w:left w:val="nil"/>
              <w:bottom w:val="single" w:sz="4" w:space="0" w:color="auto"/>
              <w:right w:val="single" w:sz="4" w:space="0" w:color="auto"/>
            </w:tcBorders>
            <w:shd w:val="clear" w:color="auto" w:fill="auto"/>
            <w:vAlign w:val="center"/>
            <w:hideMark/>
          </w:tcPr>
          <w:p w:rsidR="000D6796" w:rsidRPr="000D6796" w:rsidRDefault="000D6796" w:rsidP="000D6796">
            <w:pPr>
              <w:spacing w:after="0" w:line="240" w:lineRule="auto"/>
              <w:jc w:val="center"/>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Инструкция по заполнению характеристик в заявке</w:t>
            </w:r>
          </w:p>
        </w:tc>
        <w:tc>
          <w:tcPr>
            <w:tcW w:w="411" w:type="pct"/>
            <w:vMerge/>
            <w:tcBorders>
              <w:top w:val="single" w:sz="4" w:space="0" w:color="auto"/>
              <w:left w:val="single" w:sz="4" w:space="0" w:color="auto"/>
              <w:bottom w:val="single" w:sz="4" w:space="0" w:color="auto"/>
              <w:right w:val="single" w:sz="4" w:space="0" w:color="auto"/>
            </w:tcBorders>
            <w:vAlign w:val="center"/>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vAlign w:val="center"/>
            <w:hideMark/>
          </w:tcPr>
          <w:p w:rsidR="000D6796" w:rsidRPr="000D6796" w:rsidRDefault="000D6796" w:rsidP="000D6796">
            <w:pPr>
              <w:spacing w:after="0" w:line="240" w:lineRule="auto"/>
              <w:jc w:val="center"/>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5" w:type="pct"/>
            <w:tcBorders>
              <w:top w:val="nil"/>
              <w:left w:val="nil"/>
              <w:bottom w:val="single" w:sz="4" w:space="0" w:color="auto"/>
              <w:right w:val="single" w:sz="4" w:space="0" w:color="auto"/>
            </w:tcBorders>
            <w:shd w:val="clear" w:color="auto" w:fill="auto"/>
            <w:vAlign w:val="center"/>
            <w:hideMark/>
          </w:tcPr>
          <w:p w:rsidR="000D6796" w:rsidRPr="000D6796" w:rsidRDefault="000D6796" w:rsidP="000D6796">
            <w:pPr>
              <w:spacing w:after="0" w:line="240" w:lineRule="auto"/>
              <w:jc w:val="center"/>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p>
        </w:tc>
        <w:tc>
          <w:tcPr>
            <w:tcW w:w="192" w:type="pct"/>
            <w:vMerge/>
            <w:tcBorders>
              <w:top w:val="single" w:sz="4" w:space="0" w:color="auto"/>
              <w:left w:val="single" w:sz="4" w:space="0" w:color="auto"/>
              <w:bottom w:val="single" w:sz="4" w:space="0" w:color="auto"/>
              <w:right w:val="single" w:sz="4" w:space="0" w:color="auto"/>
            </w:tcBorders>
            <w:vAlign w:val="center"/>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jc w:val="right"/>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1</w:t>
            </w:r>
          </w:p>
        </w:tc>
        <w:tc>
          <w:tcPr>
            <w:tcW w:w="766"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Тепло/влагообменник/бактериальный фильтр, стерильный</w:t>
            </w:r>
          </w:p>
        </w:tc>
        <w:tc>
          <w:tcPr>
            <w:tcW w:w="309"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32.50.13.190-00472*</w:t>
            </w:r>
          </w:p>
        </w:tc>
        <w:tc>
          <w:tcPr>
            <w:tcW w:w="666"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Внутренний объем</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Calibri" w:eastAsia="Times New Roman" w:hAnsi="Calibri" w:cs="Times New Roman"/>
                <w:color w:val="000000"/>
                <w:sz w:val="20"/>
                <w:szCs w:val="20"/>
                <w:lang w:eastAsia="ru-RU"/>
              </w:rPr>
            </w:pPr>
            <w:r w:rsidRPr="000D6796">
              <w:rPr>
                <w:rFonts w:ascii="Calibri" w:eastAsia="Times New Roman" w:hAnsi="Calibri" w:cs="Times New Roman"/>
                <w:color w:val="000000"/>
                <w:sz w:val="20"/>
                <w:szCs w:val="20"/>
                <w:lang w:eastAsia="ru-RU"/>
              </w:rPr>
              <w:t>≥ 51  и  ≤ 100</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Кубический сантиметр;^миллилитр</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B0F0"/>
                <w:sz w:val="20"/>
                <w:szCs w:val="20"/>
                <w:lang w:eastAsia="ru-RU"/>
              </w:rPr>
            </w:pPr>
            <w:r w:rsidRPr="000D6796">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11"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jc w:val="right"/>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5520</w:t>
            </w:r>
          </w:p>
        </w:tc>
        <w:tc>
          <w:tcPr>
            <w:tcW w:w="26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штука</w:t>
            </w:r>
          </w:p>
        </w:tc>
        <w:tc>
          <w:tcPr>
            <w:tcW w:w="357"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5"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Тип фильтра</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Calibri" w:eastAsia="Times New Roman" w:hAnsi="Calibri" w:cs="Times New Roman"/>
                <w:color w:val="000000"/>
                <w:sz w:val="20"/>
                <w:szCs w:val="20"/>
                <w:lang w:eastAsia="ru-RU"/>
              </w:rPr>
            </w:pPr>
            <w:r w:rsidRPr="000D6796">
              <w:rPr>
                <w:rFonts w:ascii="Calibri" w:eastAsia="Times New Roman" w:hAnsi="Calibri" w:cs="Times New Roman"/>
                <w:color w:val="000000"/>
                <w:sz w:val="20"/>
                <w:szCs w:val="20"/>
                <w:lang w:eastAsia="ru-RU"/>
              </w:rPr>
              <w:t>Бактериальный</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Эффективность фильтрации</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Calibri" w:eastAsia="Times New Roman" w:hAnsi="Calibri" w:cs="Times New Roman"/>
                <w:color w:val="000000"/>
                <w:sz w:val="20"/>
                <w:szCs w:val="20"/>
                <w:lang w:eastAsia="ru-RU"/>
              </w:rPr>
            </w:pPr>
            <w:r w:rsidRPr="000D6796">
              <w:rPr>
                <w:rFonts w:ascii="Calibri" w:eastAsia="Times New Roman" w:hAnsi="Calibri" w:cs="Times New Roman"/>
                <w:color w:val="000000"/>
                <w:sz w:val="20"/>
                <w:szCs w:val="20"/>
                <w:lang w:eastAsia="ru-RU"/>
              </w:rPr>
              <w:t>≥ 99.9  и  ≤ 100</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Процент</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B0F0"/>
                <w:sz w:val="20"/>
                <w:szCs w:val="20"/>
                <w:lang w:eastAsia="ru-RU"/>
              </w:rPr>
            </w:pPr>
            <w:r w:rsidRPr="000D6796">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Фильтр вирусобактериальный электростатический взрослый (электростатические фильтры сочетают в себе высокий уровень фильтрации и низкое сопротивление потоку, что минимизирует влияние на параметры вентиляции.)</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Соответствие</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Сопротивление потоку при вентиляции 30л/мин (Альвеолярное давление является очень важным параметром, поскольку отражает ту движущую силу, которая растягивает альвеолы и обеспечивает градиент давления между ними и легочными капиллярами. Если у пациента имеется ограничение выдоха, что бывает, например, при хронической обструктивной болезни легких, то воздух может задерживаться в легких. Вследствие этого поступающие новые порции дыхательной смеси приводят к развитию перерастяжения легких)</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Calibri" w:eastAsia="Times New Roman" w:hAnsi="Calibri" w:cs="Times New Roman"/>
                <w:color w:val="000000"/>
                <w:sz w:val="20"/>
                <w:szCs w:val="20"/>
                <w:lang w:eastAsia="ru-RU"/>
              </w:rPr>
            </w:pPr>
            <w:r w:rsidRPr="000D6796">
              <w:rPr>
                <w:rFonts w:ascii="Calibri" w:eastAsia="Times New Roman" w:hAnsi="Calibri" w:cs="Times New Roman"/>
                <w:color w:val="000000"/>
                <w:sz w:val="20"/>
                <w:szCs w:val="20"/>
                <w:lang w:eastAsia="ru-RU"/>
              </w:rPr>
              <w:t>≤ 0,6</w:t>
            </w:r>
          </w:p>
        </w:tc>
        <w:tc>
          <w:tcPr>
            <w:tcW w:w="493"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см вод. ст</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B0F0"/>
                <w:sz w:val="20"/>
                <w:szCs w:val="20"/>
                <w:lang w:eastAsia="ru-RU"/>
              </w:rPr>
            </w:pPr>
            <w:r w:rsidRPr="000D6796">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Сопротивление потоку при вентиляции 60л/мин (Альвеолярное давление является очень важным параметром, поскольку отражает ту движущую силу, которая растягивает альвеолы и обеспечивает градиент давления между ними и легочными капиллярами. Если у пациента имеется ограничение выдоха, что бывает, например, при хронической обструктивной болезни легких, то воздух может задерживаться в легких. Вследствие этого поступающие новые порции дыхательной смеси приводят к развитию перерастяжения легких)</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Calibri" w:eastAsia="Times New Roman" w:hAnsi="Calibri" w:cs="Times New Roman"/>
                <w:color w:val="000000"/>
                <w:sz w:val="20"/>
                <w:szCs w:val="20"/>
                <w:lang w:eastAsia="ru-RU"/>
              </w:rPr>
            </w:pPr>
            <w:r w:rsidRPr="000D6796">
              <w:rPr>
                <w:rFonts w:ascii="Calibri" w:eastAsia="Times New Roman" w:hAnsi="Calibri" w:cs="Times New Roman"/>
                <w:color w:val="000000"/>
                <w:sz w:val="20"/>
                <w:szCs w:val="20"/>
                <w:lang w:eastAsia="ru-RU"/>
              </w:rPr>
              <w:t>≤ 1,4</w:t>
            </w:r>
          </w:p>
        </w:tc>
        <w:tc>
          <w:tcPr>
            <w:tcW w:w="493"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см вод. ст</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B0F0"/>
                <w:sz w:val="20"/>
                <w:szCs w:val="20"/>
                <w:lang w:eastAsia="ru-RU"/>
              </w:rPr>
            </w:pPr>
            <w:r w:rsidRPr="000D6796">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Минимальный дыхательный объем (покрывает все потребности при применении у пациентов разных возрастных категорий с разным дыхательным объемом, не оказывая при этом влияния на параметры вентиляции).</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150</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Кубический сантиметр;^миллилитр</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B0F0"/>
                <w:sz w:val="20"/>
                <w:szCs w:val="20"/>
                <w:lang w:eastAsia="ru-RU"/>
              </w:rPr>
            </w:pPr>
            <w:r w:rsidRPr="000D6796">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Вес (не оказывает давление на эндотрахеальную и трахеостомическую трубку при креплении фильтра между эндотрахеальной,  трахеостомической трубкой и дыхательным контуром.)</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Calibri" w:eastAsia="Times New Roman" w:hAnsi="Calibri" w:cs="Times New Roman"/>
                <w:color w:val="000000"/>
                <w:sz w:val="20"/>
                <w:szCs w:val="20"/>
                <w:lang w:eastAsia="ru-RU"/>
              </w:rPr>
            </w:pPr>
            <w:r w:rsidRPr="000D6796">
              <w:rPr>
                <w:rFonts w:ascii="Calibri" w:eastAsia="Times New Roman" w:hAnsi="Calibri" w:cs="Times New Roman"/>
                <w:color w:val="000000"/>
                <w:sz w:val="20"/>
                <w:szCs w:val="20"/>
                <w:lang w:eastAsia="ru-RU"/>
              </w:rPr>
              <w:t>≥ 26 и ≤ 30</w:t>
            </w:r>
          </w:p>
        </w:tc>
        <w:tc>
          <w:tcPr>
            <w:tcW w:w="493"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Грамм</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B0F0"/>
                <w:sz w:val="20"/>
                <w:szCs w:val="20"/>
                <w:lang w:eastAsia="ru-RU"/>
              </w:rPr>
            </w:pPr>
            <w:r w:rsidRPr="000D6796">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Коннекторы 22M/15F – 22F/15M. СО2-порт с разъемом Luer-Lock, закрытым винтовой заглушкой (для подключения линии мониторинга СО2)</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Наличие</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jc w:val="right"/>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2</w:t>
            </w:r>
          </w:p>
        </w:tc>
        <w:tc>
          <w:tcPr>
            <w:tcW w:w="766"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Контур дыхательный аппарата искусственной вентиляции легких, одноразового использования</w:t>
            </w:r>
          </w:p>
        </w:tc>
        <w:tc>
          <w:tcPr>
            <w:tcW w:w="309"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32.50.13.190-00245*</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Внутренний диаметр дыхательной трубки</w:t>
            </w:r>
          </w:p>
        </w:tc>
        <w:tc>
          <w:tcPr>
            <w:tcW w:w="651" w:type="pct"/>
            <w:tcBorders>
              <w:top w:val="nil"/>
              <w:left w:val="single" w:sz="4" w:space="0" w:color="auto"/>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21  и  ≤ 25</w:t>
            </w:r>
          </w:p>
        </w:tc>
        <w:tc>
          <w:tcPr>
            <w:tcW w:w="493"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Миллиметр</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B0F0"/>
                <w:sz w:val="20"/>
                <w:szCs w:val="20"/>
                <w:lang w:eastAsia="ru-RU"/>
              </w:rPr>
            </w:pPr>
            <w:r w:rsidRPr="000D6796">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11"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jc w:val="right"/>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300</w:t>
            </w:r>
          </w:p>
        </w:tc>
        <w:tc>
          <w:tcPr>
            <w:tcW w:w="26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штука</w:t>
            </w:r>
          </w:p>
        </w:tc>
        <w:tc>
          <w:tcPr>
            <w:tcW w:w="357"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5"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766"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Длина дыхательной трубки</w:t>
            </w:r>
          </w:p>
        </w:tc>
        <w:tc>
          <w:tcPr>
            <w:tcW w:w="651" w:type="pct"/>
            <w:tcBorders>
              <w:top w:val="single" w:sz="4" w:space="0" w:color="auto"/>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100  и  ≤ 700</w:t>
            </w:r>
          </w:p>
        </w:tc>
        <w:tc>
          <w:tcPr>
            <w:tcW w:w="493" w:type="pct"/>
            <w:tcBorders>
              <w:top w:val="single" w:sz="4" w:space="0" w:color="auto"/>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Сантиметр</w:t>
            </w:r>
          </w:p>
        </w:tc>
        <w:tc>
          <w:tcPr>
            <w:tcW w:w="359" w:type="pct"/>
            <w:tcBorders>
              <w:top w:val="single" w:sz="4" w:space="0" w:color="auto"/>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B0F0"/>
                <w:sz w:val="20"/>
                <w:szCs w:val="20"/>
                <w:lang w:eastAsia="ru-RU"/>
              </w:rPr>
            </w:pPr>
            <w:r w:rsidRPr="000D6796">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11" w:type="pct"/>
            <w:tcBorders>
              <w:top w:val="nil"/>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5"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766"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666" w:type="pct"/>
            <w:vMerge w:val="restar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Комплектация</w:t>
            </w:r>
          </w:p>
        </w:tc>
        <w:tc>
          <w:tcPr>
            <w:tcW w:w="651"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Влагосборник(и)</w:t>
            </w:r>
          </w:p>
        </w:tc>
        <w:tc>
          <w:tcPr>
            <w:tcW w:w="493"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9" w:type="pct"/>
            <w:vMerge w:val="restart"/>
            <w:tcBorders>
              <w:top w:val="nil"/>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5"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766"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666" w:type="pct"/>
            <w:vMerge/>
            <w:tcBorders>
              <w:top w:val="nil"/>
              <w:left w:val="single" w:sz="4" w:space="0" w:color="auto"/>
              <w:bottom w:val="nil"/>
              <w:right w:val="single" w:sz="4" w:space="0" w:color="auto"/>
            </w:tcBorders>
            <w:vAlign w:val="center"/>
            <w:hideMark/>
          </w:tcPr>
          <w:p w:rsidR="000D6796" w:rsidRPr="000D6796" w:rsidRDefault="000D6796" w:rsidP="000D6796">
            <w:pPr>
              <w:spacing w:after="0" w:line="240" w:lineRule="auto"/>
              <w:rPr>
                <w:rFonts w:ascii="Calibri" w:eastAsia="Times New Roman" w:hAnsi="Calibri" w:cs="Times New Roman"/>
                <w:color w:val="000000"/>
                <w:lang w:eastAsia="ru-RU"/>
              </w:rPr>
            </w:pPr>
          </w:p>
        </w:tc>
        <w:tc>
          <w:tcPr>
            <w:tcW w:w="651"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Соединители (переходники/адаптеры/коннекторы)</w:t>
            </w:r>
          </w:p>
        </w:tc>
        <w:tc>
          <w:tcPr>
            <w:tcW w:w="493"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9" w:type="pct"/>
            <w:vMerge/>
            <w:tcBorders>
              <w:top w:val="nil"/>
              <w:left w:val="single" w:sz="4" w:space="0" w:color="auto"/>
              <w:bottom w:val="nil"/>
              <w:right w:val="single" w:sz="4" w:space="0" w:color="auto"/>
            </w:tcBorders>
            <w:vAlign w:val="center"/>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p>
        </w:tc>
        <w:tc>
          <w:tcPr>
            <w:tcW w:w="411"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5"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766"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Тип подключения</w:t>
            </w:r>
          </w:p>
        </w:tc>
        <w:tc>
          <w:tcPr>
            <w:tcW w:w="651"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Инвазивный</w:t>
            </w:r>
          </w:p>
        </w:tc>
        <w:tc>
          <w:tcPr>
            <w:tcW w:w="493"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9" w:type="pct"/>
            <w:tcBorders>
              <w:top w:val="single" w:sz="4" w:space="0" w:color="auto"/>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5"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766"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трубки вдоха/выдоха конфигурируемые (растяжимые) (Обеспечивают универсальность применения для различных клинических ситуаций (принимают нужное для данной клинической ситуации положение))</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Наличие</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5"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Трубки вдоха/выдоха конфигурируемые (растяжимые) длиной в полностью растянутом состоянии (Обеспечивают универсальность применения для различных клинических ситуаций (принимают нужное для данной клинической ситуации положение))</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Calibri" w:eastAsia="Times New Roman" w:hAnsi="Calibri" w:cs="Times New Roman"/>
                <w:color w:val="000000"/>
                <w:sz w:val="20"/>
                <w:szCs w:val="20"/>
                <w:lang w:eastAsia="ru-RU"/>
              </w:rPr>
            </w:pPr>
            <w:r w:rsidRPr="000D6796">
              <w:rPr>
                <w:rFonts w:ascii="Calibri" w:eastAsia="Times New Roman" w:hAnsi="Calibri" w:cs="Times New Roman"/>
                <w:color w:val="000000"/>
                <w:sz w:val="20"/>
                <w:szCs w:val="20"/>
                <w:lang w:eastAsia="ru-RU"/>
              </w:rPr>
              <w:t>≥ 160 и ≤ 200</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Сантиметр</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B0F0"/>
                <w:sz w:val="20"/>
                <w:szCs w:val="20"/>
                <w:lang w:eastAsia="ru-RU"/>
              </w:rPr>
            </w:pPr>
            <w:r w:rsidRPr="000D6796">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Трубки вдоха/выдоха конфигурируемые (растяжимые) длиной в сжатом состоянии (Обеспечивают универсальность применения для различных клинических ситуаций (принимают нужное для данной клинической ситуации положение) и удобство хранения и использования (занимают мало места))</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Calibri" w:eastAsia="Times New Roman" w:hAnsi="Calibri" w:cs="Times New Roman"/>
                <w:color w:val="000000"/>
                <w:sz w:val="20"/>
                <w:szCs w:val="20"/>
                <w:lang w:eastAsia="ru-RU"/>
              </w:rPr>
            </w:pPr>
            <w:r w:rsidRPr="000D6796">
              <w:rPr>
                <w:rFonts w:ascii="Calibri" w:eastAsia="Times New Roman" w:hAnsi="Calibri" w:cs="Times New Roman"/>
                <w:color w:val="000000"/>
                <w:sz w:val="20"/>
                <w:szCs w:val="20"/>
                <w:lang w:eastAsia="ru-RU"/>
              </w:rPr>
              <w:t>≤ 81</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Сантиметр</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B0F0"/>
                <w:sz w:val="20"/>
                <w:szCs w:val="20"/>
                <w:lang w:eastAsia="ru-RU"/>
              </w:rPr>
            </w:pPr>
            <w:r w:rsidRPr="000D6796">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xml:space="preserve">Угловой переходник к интубационной трубке с портом типа «Луер-Лок» для мониторинга уровня СО2 (для соединения пациента с контуром). </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Наличие</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xml:space="preserve">Коннекция 22М/15F, коннекция линий контура 22 F (стандартные коннекторы для присоединения взрослого контура к аппарату искусственной вентиляции легких (ИВЛ)). </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Наличие</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Встроенных полностью разборных влагосборников - 2 шт. (обусловлено спецификой проводимых манипуляций)</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Наличие</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Лимб с жесткими адаптерами 22F (обязательная часть, входящая в контур, иначе влагосборник не присоединить к аппарату)</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Наличие</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Лимб длиной  (обусловлено спецификой проводимого реанимационного мероприятия)</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Calibri" w:eastAsia="Times New Roman" w:hAnsi="Calibri" w:cs="Times New Roman"/>
                <w:color w:val="000000"/>
                <w:sz w:val="20"/>
                <w:szCs w:val="20"/>
                <w:lang w:eastAsia="ru-RU"/>
              </w:rPr>
            </w:pPr>
            <w:r w:rsidRPr="000D6796">
              <w:rPr>
                <w:rFonts w:ascii="Calibri" w:eastAsia="Times New Roman" w:hAnsi="Calibri" w:cs="Times New Roman"/>
                <w:color w:val="000000"/>
                <w:sz w:val="20"/>
                <w:szCs w:val="20"/>
                <w:lang w:eastAsia="ru-RU"/>
              </w:rPr>
              <w:t>≥ 70 и ≤90</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Сантиметр</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B0F0"/>
                <w:sz w:val="20"/>
                <w:szCs w:val="20"/>
                <w:lang w:eastAsia="ru-RU"/>
              </w:rPr>
            </w:pPr>
            <w:r w:rsidRPr="000D6796">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xml:space="preserve">Принадлежности: соединитель 22М-22М (для соединения частей контура и подключения дополнительного оборудования). </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Calibri" w:eastAsia="Times New Roman" w:hAnsi="Calibri" w:cs="Times New Roman"/>
                <w:color w:val="000000"/>
                <w:sz w:val="20"/>
                <w:szCs w:val="20"/>
                <w:lang w:eastAsia="ru-RU"/>
              </w:rPr>
            </w:pPr>
            <w:r w:rsidRPr="000D6796">
              <w:rPr>
                <w:rFonts w:ascii="Calibri" w:eastAsia="Times New Roman" w:hAnsi="Calibri" w:cs="Times New Roman"/>
                <w:color w:val="000000"/>
                <w:sz w:val="20"/>
                <w:szCs w:val="20"/>
                <w:lang w:eastAsia="ru-RU"/>
              </w:rPr>
              <w:t>≥ 2</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штука</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B0F0"/>
                <w:sz w:val="20"/>
                <w:szCs w:val="20"/>
                <w:lang w:eastAsia="ru-RU"/>
              </w:rPr>
            </w:pPr>
            <w:r w:rsidRPr="000D6796">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Наличие Y-образного адаптера с разъёмом 22М/15F со стороны пациента, с двумя портами для контроля давления и температуры, а так же защитной крышкой. (обусловлено спецификой проводимого реанимационного мероприятия)</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Наличие</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Материал: полипропилен. (обеспечивает необходимую растяжимость)</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Соответствие</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jc w:val="right"/>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3</w:t>
            </w:r>
          </w:p>
        </w:tc>
        <w:tc>
          <w:tcPr>
            <w:tcW w:w="766"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Контур дыхательный аппарата искусственной вентиляции легких, одноразового использования</w:t>
            </w:r>
          </w:p>
        </w:tc>
        <w:tc>
          <w:tcPr>
            <w:tcW w:w="309"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32.50.13.190-00246*</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Внутренний диаметр дыхательной трубки</w:t>
            </w:r>
          </w:p>
        </w:tc>
        <w:tc>
          <w:tcPr>
            <w:tcW w:w="651" w:type="pct"/>
            <w:tcBorders>
              <w:top w:val="nil"/>
              <w:left w:val="single" w:sz="4" w:space="0" w:color="auto"/>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15  и  ≤ 20</w:t>
            </w:r>
          </w:p>
        </w:tc>
        <w:tc>
          <w:tcPr>
            <w:tcW w:w="493"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Миллиметр</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B0F0"/>
                <w:sz w:val="20"/>
                <w:szCs w:val="20"/>
                <w:lang w:eastAsia="ru-RU"/>
              </w:rPr>
            </w:pPr>
            <w:r w:rsidRPr="000D6796">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11"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jc w:val="right"/>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40</w:t>
            </w:r>
          </w:p>
        </w:tc>
        <w:tc>
          <w:tcPr>
            <w:tcW w:w="26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штука</w:t>
            </w:r>
          </w:p>
        </w:tc>
        <w:tc>
          <w:tcPr>
            <w:tcW w:w="357"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5"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766"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Длина дыхательной трубки</w:t>
            </w:r>
          </w:p>
        </w:tc>
        <w:tc>
          <w:tcPr>
            <w:tcW w:w="651" w:type="pct"/>
            <w:tcBorders>
              <w:top w:val="single" w:sz="4" w:space="0" w:color="auto"/>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100  и  ≤ 700</w:t>
            </w:r>
          </w:p>
        </w:tc>
        <w:tc>
          <w:tcPr>
            <w:tcW w:w="493" w:type="pct"/>
            <w:tcBorders>
              <w:top w:val="single" w:sz="4" w:space="0" w:color="auto"/>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Сантиметр</w:t>
            </w:r>
          </w:p>
        </w:tc>
        <w:tc>
          <w:tcPr>
            <w:tcW w:w="359" w:type="pct"/>
            <w:tcBorders>
              <w:top w:val="single" w:sz="4" w:space="0" w:color="auto"/>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B0F0"/>
                <w:sz w:val="20"/>
                <w:szCs w:val="20"/>
                <w:lang w:eastAsia="ru-RU"/>
              </w:rPr>
            </w:pPr>
            <w:r w:rsidRPr="000D6796">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11" w:type="pct"/>
            <w:tcBorders>
              <w:top w:val="nil"/>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5"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766"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666" w:type="pct"/>
            <w:vMerge w:val="restar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Комплектация</w:t>
            </w:r>
          </w:p>
        </w:tc>
        <w:tc>
          <w:tcPr>
            <w:tcW w:w="651"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Дополнительная линия для мешка (трубка)</w:t>
            </w:r>
          </w:p>
        </w:tc>
        <w:tc>
          <w:tcPr>
            <w:tcW w:w="493"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9" w:type="pct"/>
            <w:vMerge w:val="restart"/>
            <w:tcBorders>
              <w:top w:val="nil"/>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5"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766"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666" w:type="pct"/>
            <w:vMerge/>
            <w:tcBorders>
              <w:top w:val="nil"/>
              <w:left w:val="single" w:sz="4" w:space="0" w:color="auto"/>
              <w:bottom w:val="nil"/>
              <w:right w:val="single" w:sz="4" w:space="0" w:color="auto"/>
            </w:tcBorders>
            <w:vAlign w:val="center"/>
            <w:hideMark/>
          </w:tcPr>
          <w:p w:rsidR="000D6796" w:rsidRPr="000D6796" w:rsidRDefault="000D6796" w:rsidP="000D6796">
            <w:pPr>
              <w:spacing w:after="0" w:line="240" w:lineRule="auto"/>
              <w:rPr>
                <w:rFonts w:ascii="Calibri" w:eastAsia="Times New Roman" w:hAnsi="Calibri" w:cs="Times New Roman"/>
                <w:color w:val="000000"/>
                <w:lang w:eastAsia="ru-RU"/>
              </w:rPr>
            </w:pPr>
          </w:p>
        </w:tc>
        <w:tc>
          <w:tcPr>
            <w:tcW w:w="651"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Мешок дыхательный</w:t>
            </w:r>
          </w:p>
        </w:tc>
        <w:tc>
          <w:tcPr>
            <w:tcW w:w="493"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9" w:type="pct"/>
            <w:vMerge/>
            <w:tcBorders>
              <w:top w:val="nil"/>
              <w:left w:val="single" w:sz="4" w:space="0" w:color="auto"/>
              <w:bottom w:val="nil"/>
              <w:right w:val="single" w:sz="4" w:space="0" w:color="auto"/>
            </w:tcBorders>
            <w:vAlign w:val="center"/>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p>
        </w:tc>
        <w:tc>
          <w:tcPr>
            <w:tcW w:w="411"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5"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766"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666" w:type="pct"/>
            <w:vMerge/>
            <w:tcBorders>
              <w:top w:val="nil"/>
              <w:left w:val="single" w:sz="4" w:space="0" w:color="auto"/>
              <w:bottom w:val="nil"/>
              <w:right w:val="single" w:sz="4" w:space="0" w:color="auto"/>
            </w:tcBorders>
            <w:vAlign w:val="center"/>
            <w:hideMark/>
          </w:tcPr>
          <w:p w:rsidR="000D6796" w:rsidRPr="000D6796" w:rsidRDefault="000D6796" w:rsidP="000D6796">
            <w:pPr>
              <w:spacing w:after="0" w:line="240" w:lineRule="auto"/>
              <w:rPr>
                <w:rFonts w:ascii="Calibri" w:eastAsia="Times New Roman" w:hAnsi="Calibri" w:cs="Times New Roman"/>
                <w:color w:val="000000"/>
                <w:lang w:eastAsia="ru-RU"/>
              </w:rPr>
            </w:pPr>
          </w:p>
        </w:tc>
        <w:tc>
          <w:tcPr>
            <w:tcW w:w="651"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Соединители (переходники/адаптеры/коннекторы)</w:t>
            </w:r>
          </w:p>
        </w:tc>
        <w:tc>
          <w:tcPr>
            <w:tcW w:w="493"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9" w:type="pct"/>
            <w:vMerge/>
            <w:tcBorders>
              <w:top w:val="nil"/>
              <w:left w:val="single" w:sz="4" w:space="0" w:color="auto"/>
              <w:bottom w:val="nil"/>
              <w:right w:val="single" w:sz="4" w:space="0" w:color="auto"/>
            </w:tcBorders>
            <w:vAlign w:val="center"/>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p>
        </w:tc>
        <w:tc>
          <w:tcPr>
            <w:tcW w:w="411"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5"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766"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Тип подключения</w:t>
            </w:r>
          </w:p>
        </w:tc>
        <w:tc>
          <w:tcPr>
            <w:tcW w:w="651"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Инвазивный</w:t>
            </w:r>
          </w:p>
        </w:tc>
        <w:tc>
          <w:tcPr>
            <w:tcW w:w="493"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9" w:type="pct"/>
            <w:tcBorders>
              <w:top w:val="single" w:sz="4" w:space="0" w:color="auto"/>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5"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766"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трубки вдоха/выдоха конфигурируемые (растяжимые) (Обеспечивают универсальность применения для различных клинических ситуаций (принимают нужное для данной клинической ситуации положение))</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Наличие</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6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7"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5"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2"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Трубки вдоха/выдоха конфигурируемые (растяжимые) длиной в полностью растянутом состоянии (Обеспечивают универсальность применения для различных клинических ситуаций (принимают нужное для данной клинической ситуации положение))</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Calibri" w:eastAsia="Times New Roman" w:hAnsi="Calibri" w:cs="Times New Roman"/>
                <w:color w:val="000000"/>
                <w:sz w:val="20"/>
                <w:szCs w:val="20"/>
                <w:lang w:eastAsia="ru-RU"/>
              </w:rPr>
            </w:pPr>
            <w:r w:rsidRPr="000D6796">
              <w:rPr>
                <w:rFonts w:ascii="Calibri" w:eastAsia="Times New Roman" w:hAnsi="Calibri" w:cs="Times New Roman"/>
                <w:color w:val="000000"/>
                <w:sz w:val="20"/>
                <w:szCs w:val="20"/>
                <w:lang w:eastAsia="ru-RU"/>
              </w:rPr>
              <w:t>≥ 160 и ≤ 200</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Сантиметр</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B0F0"/>
                <w:sz w:val="20"/>
                <w:szCs w:val="20"/>
                <w:lang w:eastAsia="ru-RU"/>
              </w:rPr>
            </w:pPr>
            <w:r w:rsidRPr="000D6796">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Трубки вдоха/выдоха конфигурируемые (растяжимые) длиной в сжатом состоянии (Обеспечивают универсальность применения для различных клинических ситуаций (принимают нужное для данной клинической ситуации положение) и удобство хранения и использования (занимают мало места))</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Calibri" w:eastAsia="Times New Roman" w:hAnsi="Calibri" w:cs="Times New Roman"/>
                <w:color w:val="000000"/>
                <w:sz w:val="20"/>
                <w:szCs w:val="20"/>
                <w:lang w:eastAsia="ru-RU"/>
              </w:rPr>
            </w:pPr>
            <w:r w:rsidRPr="000D6796">
              <w:rPr>
                <w:rFonts w:ascii="Calibri" w:eastAsia="Times New Roman" w:hAnsi="Calibri" w:cs="Times New Roman"/>
                <w:color w:val="000000"/>
                <w:sz w:val="20"/>
                <w:szCs w:val="20"/>
                <w:lang w:eastAsia="ru-RU"/>
              </w:rPr>
              <w:t>≤ 81</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Сантиметр</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B0F0"/>
                <w:sz w:val="20"/>
                <w:szCs w:val="20"/>
                <w:lang w:eastAsia="ru-RU"/>
              </w:rPr>
            </w:pPr>
            <w:r w:rsidRPr="000D6796">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xml:space="preserve">Коннекция 22М/15F, коннекция линий контура 22 F (стандартные коннекторы для присоединения контура к аппарату). </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Наличие</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Наличие мешка дыхательного резервного однократного применения, изготовленного из резины без применения латекса и используемого в качестве «тестового лёгкого» с горловиной 22F (с его помощью осуществляется мониторинг дыхания пациента и мониторинг расположения интубационной трубки, так же может использоваться при принудительной вентиляции легких).</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Calibri" w:eastAsia="Times New Roman" w:hAnsi="Calibri" w:cs="Times New Roman"/>
                <w:color w:val="000000"/>
                <w:sz w:val="20"/>
                <w:szCs w:val="20"/>
                <w:lang w:eastAsia="ru-RU"/>
              </w:rPr>
            </w:pPr>
            <w:r w:rsidRPr="000D6796">
              <w:rPr>
                <w:rFonts w:ascii="Calibri" w:eastAsia="Times New Roman" w:hAnsi="Calibri" w:cs="Times New Roman"/>
                <w:color w:val="000000"/>
                <w:sz w:val="20"/>
                <w:szCs w:val="20"/>
                <w:lang w:eastAsia="ru-RU"/>
              </w:rPr>
              <w:t>≤ 1</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Литр</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B0F0"/>
                <w:sz w:val="20"/>
                <w:szCs w:val="20"/>
                <w:lang w:eastAsia="ru-RU"/>
              </w:rPr>
            </w:pPr>
            <w:r w:rsidRPr="000D6796">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xml:space="preserve">Наличие дополнительного шланга (лимба) гофрированного диаметром 15 мм с жесткими адаптерами 22F (обязательная часть, входящая в контур, иначе резервный мешок не присоединить к аппарату). </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Наличие</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Лимб длиной  (обусловлено спецификой проводимого реанимационного мероприятия)</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Calibri" w:eastAsia="Times New Roman" w:hAnsi="Calibri" w:cs="Times New Roman"/>
                <w:color w:val="000000"/>
                <w:sz w:val="20"/>
                <w:szCs w:val="20"/>
                <w:lang w:eastAsia="ru-RU"/>
              </w:rPr>
            </w:pPr>
            <w:r w:rsidRPr="000D6796">
              <w:rPr>
                <w:rFonts w:ascii="Calibri" w:eastAsia="Times New Roman" w:hAnsi="Calibri" w:cs="Times New Roman"/>
                <w:color w:val="000000"/>
                <w:sz w:val="20"/>
                <w:szCs w:val="20"/>
                <w:lang w:eastAsia="ru-RU"/>
              </w:rPr>
              <w:t>≥ 70 и ≤ 90</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Сантиметр</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B0F0"/>
                <w:sz w:val="20"/>
                <w:szCs w:val="20"/>
                <w:lang w:eastAsia="ru-RU"/>
              </w:rPr>
            </w:pPr>
            <w:r w:rsidRPr="000D6796">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xml:space="preserve">Наличие соединителя 22М-22М (для соединения частей контура и подключения дополнительного оборудования). </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Наличие</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Наличие Y-образного адаптера с разъёмом 22М/15F со стороны пациента, двумя портами для контроля давления и температуры, а так же защитной крышкой (обусловлено спецификой проводимого реанимационного мероприятия)</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Наличие</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xml:space="preserve">Угловой переходник к интубационной трубке с портом типа «Луер-Лок» для мониторинга уровня СО2 (для соединения пациента с контуром). </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Наличие</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Наличие жёстких адаптеров с разъёмом 22F со стороны аппарата (обусловлено спецификой проводимого реанимационного мероприятия)</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Наличие</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Материал: полипропилен. (обеспечивает необходимую растяжимость)</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Соответствие</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single" w:sz="4" w:space="0" w:color="auto"/>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jc w:val="right"/>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4</w:t>
            </w:r>
          </w:p>
        </w:tc>
        <w:tc>
          <w:tcPr>
            <w:tcW w:w="766" w:type="pct"/>
            <w:tcBorders>
              <w:top w:val="single" w:sz="4" w:space="0" w:color="auto"/>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Мочеприемник прикроватный</w:t>
            </w:r>
          </w:p>
        </w:tc>
        <w:tc>
          <w:tcPr>
            <w:tcW w:w="309" w:type="pct"/>
            <w:tcBorders>
              <w:top w:val="single" w:sz="4" w:space="0" w:color="auto"/>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32.50.50.141-00000020*</w:t>
            </w:r>
          </w:p>
        </w:tc>
        <w:tc>
          <w:tcPr>
            <w:tcW w:w="666"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Антирефлюксный (обратный) клапан</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Да</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single" w:sz="4" w:space="0" w:color="auto"/>
              <w:left w:val="nil"/>
              <w:bottom w:val="nil"/>
              <w:right w:val="single" w:sz="4" w:space="0" w:color="auto"/>
            </w:tcBorders>
            <w:shd w:val="clear" w:color="auto" w:fill="auto"/>
            <w:vAlign w:val="bottom"/>
            <w:hideMark/>
          </w:tcPr>
          <w:p w:rsidR="000D6796" w:rsidRPr="000D6796" w:rsidRDefault="000D6796" w:rsidP="000D6796">
            <w:pPr>
              <w:spacing w:after="0" w:line="240" w:lineRule="auto"/>
              <w:jc w:val="right"/>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3000</w:t>
            </w:r>
          </w:p>
        </w:tc>
        <w:tc>
          <w:tcPr>
            <w:tcW w:w="262" w:type="pct"/>
            <w:tcBorders>
              <w:top w:val="single" w:sz="4" w:space="0" w:color="auto"/>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штука</w:t>
            </w:r>
          </w:p>
        </w:tc>
        <w:tc>
          <w:tcPr>
            <w:tcW w:w="357" w:type="pct"/>
            <w:tcBorders>
              <w:top w:val="single" w:sz="4" w:space="0" w:color="auto"/>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5" w:type="pct"/>
            <w:tcBorders>
              <w:top w:val="single" w:sz="4" w:space="0" w:color="auto"/>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23" w:type="pct"/>
            <w:tcBorders>
              <w:top w:val="single" w:sz="4" w:space="0" w:color="auto"/>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2" w:type="pct"/>
            <w:tcBorders>
              <w:top w:val="single" w:sz="4" w:space="0" w:color="auto"/>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FF0000"/>
                <w:sz w:val="20"/>
                <w:szCs w:val="20"/>
                <w:lang w:eastAsia="ru-RU"/>
              </w:rPr>
            </w:pPr>
            <w:r w:rsidRPr="000D6796">
              <w:rPr>
                <w:rFonts w:ascii="Times New Roman" w:eastAsia="Times New Roman" w:hAnsi="Times New Roman" w:cs="Times New Roman"/>
                <w:color w:val="FF0000"/>
                <w:sz w:val="20"/>
                <w:szCs w:val="20"/>
                <w:lang w:eastAsia="ru-RU"/>
              </w:rPr>
              <w:t> </w:t>
            </w:r>
          </w:p>
        </w:tc>
        <w:tc>
          <w:tcPr>
            <w:tcW w:w="309" w:type="pct"/>
            <w:tcBorders>
              <w:top w:val="nil"/>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FF0000"/>
                <w:sz w:val="20"/>
                <w:szCs w:val="20"/>
                <w:lang w:eastAsia="ru-RU"/>
              </w:rPr>
            </w:pPr>
            <w:r w:rsidRPr="000D6796">
              <w:rPr>
                <w:rFonts w:ascii="Times New Roman" w:eastAsia="Times New Roman" w:hAnsi="Times New Roman" w:cs="Times New Roman"/>
                <w:color w:val="FF0000"/>
                <w:sz w:val="20"/>
                <w:szCs w:val="2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Градуировка</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Да</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Длина соединительной трубки</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90</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Сантиметр</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70C0"/>
                <w:sz w:val="20"/>
                <w:szCs w:val="20"/>
                <w:lang w:eastAsia="ru-RU"/>
              </w:rPr>
            </w:pPr>
            <w:r w:rsidRPr="000D6796">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Объем мешка</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2000</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Кубический сантиметр;^миллилитр</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Переходник для присоединения к катетеру</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Да</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Сливной кран</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Да</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Тип сливного клапана (крана)</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Т-образный</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09"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666" w:type="pct"/>
            <w:tcBorders>
              <w:top w:val="nil"/>
              <w:left w:val="single" w:sz="4" w:space="0" w:color="auto"/>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Наличие отверстий для крепления мочеприемника (для крепления мочеприемника к раме кровати)</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Наличие</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single" w:sz="4" w:space="0" w:color="auto"/>
              <w:left w:val="single" w:sz="4" w:space="0" w:color="auto"/>
              <w:bottom w:val="nil"/>
              <w:right w:val="single" w:sz="4" w:space="0" w:color="auto"/>
            </w:tcBorders>
            <w:shd w:val="clear" w:color="auto" w:fill="auto"/>
            <w:vAlign w:val="bottom"/>
            <w:hideMark/>
          </w:tcPr>
          <w:p w:rsidR="000D6796" w:rsidRPr="000D6796" w:rsidRDefault="000D6796" w:rsidP="000D6796">
            <w:pPr>
              <w:spacing w:after="0" w:line="240" w:lineRule="auto"/>
              <w:jc w:val="right"/>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5</w:t>
            </w:r>
          </w:p>
        </w:tc>
        <w:tc>
          <w:tcPr>
            <w:tcW w:w="766" w:type="pct"/>
            <w:tcBorders>
              <w:top w:val="single" w:sz="4" w:space="0" w:color="auto"/>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Тепло/влагообменник/бактериальный фильтр, стерильный</w:t>
            </w:r>
          </w:p>
        </w:tc>
        <w:tc>
          <w:tcPr>
            <w:tcW w:w="309" w:type="pct"/>
            <w:tcBorders>
              <w:top w:val="single" w:sz="4" w:space="0" w:color="auto"/>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32.50.13.190-00470*</w:t>
            </w:r>
          </w:p>
        </w:tc>
        <w:tc>
          <w:tcPr>
            <w:tcW w:w="666"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Внутренний объем</w:t>
            </w:r>
          </w:p>
        </w:tc>
        <w:tc>
          <w:tcPr>
            <w:tcW w:w="651"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51  и  ≤ 100</w:t>
            </w:r>
          </w:p>
        </w:tc>
        <w:tc>
          <w:tcPr>
            <w:tcW w:w="493"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Кубический сантиметр;^миллилитр</w:t>
            </w:r>
          </w:p>
        </w:tc>
        <w:tc>
          <w:tcPr>
            <w:tcW w:w="359" w:type="pct"/>
            <w:tcBorders>
              <w:top w:val="nil"/>
              <w:left w:val="nil"/>
              <w:bottom w:val="single" w:sz="4" w:space="0" w:color="auto"/>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Указывают в заявке конкретное значение характеристики</w:t>
            </w:r>
          </w:p>
        </w:tc>
        <w:tc>
          <w:tcPr>
            <w:tcW w:w="411" w:type="pct"/>
            <w:tcBorders>
              <w:top w:val="single" w:sz="4" w:space="0" w:color="auto"/>
              <w:left w:val="nil"/>
              <w:bottom w:val="nil"/>
              <w:right w:val="single" w:sz="4" w:space="0" w:color="auto"/>
            </w:tcBorders>
            <w:shd w:val="clear" w:color="auto" w:fill="auto"/>
            <w:vAlign w:val="bottom"/>
            <w:hideMark/>
          </w:tcPr>
          <w:p w:rsidR="000D6796" w:rsidRPr="000D6796" w:rsidRDefault="000D6796" w:rsidP="000D6796">
            <w:pPr>
              <w:spacing w:after="0" w:line="240" w:lineRule="auto"/>
              <w:jc w:val="right"/>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880</w:t>
            </w:r>
          </w:p>
        </w:tc>
        <w:tc>
          <w:tcPr>
            <w:tcW w:w="262" w:type="pct"/>
            <w:tcBorders>
              <w:top w:val="single" w:sz="4" w:space="0" w:color="auto"/>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штука</w:t>
            </w:r>
          </w:p>
        </w:tc>
        <w:tc>
          <w:tcPr>
            <w:tcW w:w="357" w:type="pct"/>
            <w:tcBorders>
              <w:top w:val="single" w:sz="4" w:space="0" w:color="auto"/>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5" w:type="pct"/>
            <w:tcBorders>
              <w:top w:val="single" w:sz="4" w:space="0" w:color="auto"/>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223" w:type="pct"/>
            <w:tcBorders>
              <w:top w:val="single" w:sz="4" w:space="0" w:color="auto"/>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192" w:type="pct"/>
            <w:tcBorders>
              <w:top w:val="single" w:sz="4" w:space="0" w:color="auto"/>
              <w:left w:val="nil"/>
              <w:bottom w:val="nil"/>
              <w:right w:val="single" w:sz="4" w:space="0" w:color="auto"/>
            </w:tcBorders>
            <w:shd w:val="clear" w:color="auto" w:fill="auto"/>
            <w:vAlign w:val="bottom"/>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666" w:type="pct"/>
            <w:tcBorders>
              <w:top w:val="nil"/>
              <w:left w:val="single" w:sz="4" w:space="0" w:color="auto"/>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Тип фильтра</w:t>
            </w:r>
          </w:p>
        </w:tc>
        <w:tc>
          <w:tcPr>
            <w:tcW w:w="651"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Тепловлагообменный</w:t>
            </w:r>
          </w:p>
        </w:tc>
        <w:tc>
          <w:tcPr>
            <w:tcW w:w="493"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666" w:type="pct"/>
            <w:tcBorders>
              <w:top w:val="nil"/>
              <w:left w:val="single" w:sz="4" w:space="0" w:color="auto"/>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Эффективность фильтрации</w:t>
            </w:r>
          </w:p>
        </w:tc>
        <w:tc>
          <w:tcPr>
            <w:tcW w:w="651"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99.9  и  ≤ 100</w:t>
            </w:r>
          </w:p>
        </w:tc>
        <w:tc>
          <w:tcPr>
            <w:tcW w:w="493"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Процент</w:t>
            </w:r>
          </w:p>
        </w:tc>
        <w:tc>
          <w:tcPr>
            <w:tcW w:w="359"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4472C4"/>
                <w:sz w:val="20"/>
                <w:szCs w:val="20"/>
                <w:lang w:eastAsia="ru-RU"/>
              </w:rPr>
            </w:pPr>
            <w:r w:rsidRPr="000D6796">
              <w:rPr>
                <w:rFonts w:ascii="Times New Roman" w:eastAsia="Times New Roman" w:hAnsi="Times New Roman" w:cs="Times New Roman"/>
                <w:color w:val="4472C4"/>
                <w:sz w:val="20"/>
                <w:szCs w:val="20"/>
                <w:lang w:eastAsia="ru-RU"/>
              </w:rPr>
              <w:t>Указывают в заявке конкретное значение характеристики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666" w:type="pct"/>
            <w:tcBorders>
              <w:top w:val="nil"/>
              <w:left w:val="single" w:sz="4" w:space="0" w:color="auto"/>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Фильтр электростатический с функцией тепловлагообмена (электростатические фильтры сочетают в себе высокий уровень фильтрации и низкое сопротивление потоку, что минимизирует влияние на параметры вентиляции)</w:t>
            </w:r>
          </w:p>
        </w:tc>
        <w:tc>
          <w:tcPr>
            <w:tcW w:w="651"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Соответствие</w:t>
            </w:r>
          </w:p>
        </w:tc>
        <w:tc>
          <w:tcPr>
            <w:tcW w:w="493"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666" w:type="pct"/>
            <w:tcBorders>
              <w:top w:val="nil"/>
              <w:left w:val="single" w:sz="4" w:space="0" w:color="auto"/>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Предназначен для фильтрации и увлажнения дыхательной газовой смеси при проведении ИВЛ у взрослых. (соответствует описанию по классификатору)</w:t>
            </w:r>
          </w:p>
        </w:tc>
        <w:tc>
          <w:tcPr>
            <w:tcW w:w="651"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Соответствие</w:t>
            </w:r>
          </w:p>
        </w:tc>
        <w:tc>
          <w:tcPr>
            <w:tcW w:w="493"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666" w:type="pct"/>
            <w:tcBorders>
              <w:top w:val="nil"/>
              <w:left w:val="single" w:sz="4" w:space="0" w:color="auto"/>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Материал  изготовления тепловлагообменного элемента -  гофробумага. (для обеспечения эфективного тепловлагообмена при длительном использовании фильтра для больных с повышенным отделением мокроты)</w:t>
            </w:r>
          </w:p>
        </w:tc>
        <w:tc>
          <w:tcPr>
            <w:tcW w:w="651"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Соответствие</w:t>
            </w:r>
          </w:p>
        </w:tc>
        <w:tc>
          <w:tcPr>
            <w:tcW w:w="493"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666" w:type="pct"/>
            <w:tcBorders>
              <w:top w:val="nil"/>
              <w:left w:val="single" w:sz="4" w:space="0" w:color="auto"/>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Сопротивление потоку при вентиляции 30 л/мин (Альвеолярное давление является очень важным параметром, поскольку отражает ту движущую силу, которая растягивает альвеолы и обеспечивает градиент давления между ними и легочными капиллярами. Если у пациента имеется ограничение выдоха, что бывает, например, при хронической обструктивной болезни легких, то воздух может задерживаться в легких. Вследствие этого поступающие новые порции дыхательной смеси приводят к развитию перерастяжения легких)</w:t>
            </w:r>
          </w:p>
        </w:tc>
        <w:tc>
          <w:tcPr>
            <w:tcW w:w="651"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Calibri" w:eastAsia="Times New Roman" w:hAnsi="Calibri" w:cs="Times New Roman"/>
                <w:color w:val="000000"/>
                <w:sz w:val="20"/>
                <w:szCs w:val="20"/>
                <w:lang w:eastAsia="ru-RU"/>
              </w:rPr>
              <w:t>≤</w:t>
            </w:r>
            <w:r w:rsidRPr="000D6796">
              <w:rPr>
                <w:rFonts w:ascii="Times New Roman" w:eastAsia="Times New Roman" w:hAnsi="Times New Roman" w:cs="Times New Roman"/>
                <w:color w:val="000000"/>
                <w:sz w:val="20"/>
                <w:szCs w:val="20"/>
                <w:lang w:eastAsia="ru-RU"/>
              </w:rPr>
              <w:t xml:space="preserve"> 0,9</w:t>
            </w:r>
          </w:p>
        </w:tc>
        <w:tc>
          <w:tcPr>
            <w:tcW w:w="493"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см H2O</w:t>
            </w:r>
          </w:p>
        </w:tc>
        <w:tc>
          <w:tcPr>
            <w:tcW w:w="359"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4472C4"/>
                <w:sz w:val="20"/>
                <w:szCs w:val="20"/>
                <w:lang w:eastAsia="ru-RU"/>
              </w:rPr>
            </w:pPr>
            <w:r w:rsidRPr="000D6796">
              <w:rPr>
                <w:rFonts w:ascii="Times New Roman" w:eastAsia="Times New Roman" w:hAnsi="Times New Roman" w:cs="Times New Roman"/>
                <w:color w:val="4472C4"/>
                <w:sz w:val="20"/>
                <w:szCs w:val="20"/>
                <w:lang w:eastAsia="ru-RU"/>
              </w:rPr>
              <w:t>Указывают в заявке конкретное значение характеристики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666" w:type="pct"/>
            <w:tcBorders>
              <w:top w:val="nil"/>
              <w:left w:val="single" w:sz="4" w:space="0" w:color="auto"/>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Сопротивление потоку при вентиляции 60 л/мин (Альвеолярное давление является очень важным параметром, поскольку отражает ту движущую силу, которая растягивает альвеолы и обеспечивает градиент давления между ними и легочными капиллярами. Если у пациента имеется ограничение выдоха, что бывает, например, при хронической обструктивной болезни легких, то воздух может задерживаться в легких. Вследствие этого поступающие новые порции дыхательной смеси приводят к развитию перерастяжения легких)</w:t>
            </w:r>
          </w:p>
        </w:tc>
        <w:tc>
          <w:tcPr>
            <w:tcW w:w="651"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Calibri" w:eastAsia="Times New Roman" w:hAnsi="Calibri" w:cs="Times New Roman"/>
                <w:color w:val="000000"/>
                <w:sz w:val="20"/>
                <w:szCs w:val="20"/>
                <w:lang w:eastAsia="ru-RU"/>
              </w:rPr>
              <w:t>≤</w:t>
            </w:r>
            <w:r w:rsidRPr="000D6796">
              <w:rPr>
                <w:rFonts w:ascii="Times New Roman" w:eastAsia="Times New Roman" w:hAnsi="Times New Roman" w:cs="Times New Roman"/>
                <w:color w:val="000000"/>
                <w:sz w:val="20"/>
                <w:szCs w:val="20"/>
                <w:lang w:eastAsia="ru-RU"/>
              </w:rPr>
              <w:t xml:space="preserve"> 2,3</w:t>
            </w:r>
          </w:p>
        </w:tc>
        <w:tc>
          <w:tcPr>
            <w:tcW w:w="493"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см H2O</w:t>
            </w:r>
          </w:p>
        </w:tc>
        <w:tc>
          <w:tcPr>
            <w:tcW w:w="359"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4472C4"/>
                <w:sz w:val="20"/>
                <w:szCs w:val="20"/>
                <w:lang w:eastAsia="ru-RU"/>
              </w:rPr>
            </w:pPr>
            <w:r w:rsidRPr="000D6796">
              <w:rPr>
                <w:rFonts w:ascii="Times New Roman" w:eastAsia="Times New Roman" w:hAnsi="Times New Roman" w:cs="Times New Roman"/>
                <w:color w:val="4472C4"/>
                <w:sz w:val="20"/>
                <w:szCs w:val="20"/>
                <w:lang w:eastAsia="ru-RU"/>
              </w:rPr>
              <w:t>Указывают в заявке конкретное значение характеристики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666" w:type="pct"/>
            <w:tcBorders>
              <w:top w:val="nil"/>
              <w:left w:val="single" w:sz="4" w:space="0" w:color="auto"/>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Минимальный дыхательный объем (покрывает все потребности при применении у пациентов разных возрастных категорий с разным дыхательным объемом, не оказывая при этом влияния на параметры вентиляции)</w:t>
            </w:r>
          </w:p>
        </w:tc>
        <w:tc>
          <w:tcPr>
            <w:tcW w:w="651"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Calibri" w:eastAsia="Times New Roman" w:hAnsi="Calibri" w:cs="Times New Roman"/>
                <w:color w:val="000000"/>
                <w:sz w:val="20"/>
                <w:szCs w:val="20"/>
                <w:lang w:eastAsia="ru-RU"/>
              </w:rPr>
              <w:t>≥</w:t>
            </w:r>
            <w:r w:rsidRPr="000D6796">
              <w:rPr>
                <w:rFonts w:ascii="Times New Roman" w:eastAsia="Times New Roman" w:hAnsi="Times New Roman" w:cs="Times New Roman"/>
                <w:color w:val="000000"/>
                <w:sz w:val="20"/>
                <w:szCs w:val="20"/>
                <w:lang w:eastAsia="ru-RU"/>
              </w:rPr>
              <w:t xml:space="preserve"> 150</w:t>
            </w:r>
          </w:p>
        </w:tc>
        <w:tc>
          <w:tcPr>
            <w:tcW w:w="493"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Кубический сантиметр;^миллилитр</w:t>
            </w:r>
          </w:p>
        </w:tc>
        <w:tc>
          <w:tcPr>
            <w:tcW w:w="359"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4472C4"/>
                <w:sz w:val="20"/>
                <w:szCs w:val="20"/>
                <w:lang w:eastAsia="ru-RU"/>
              </w:rPr>
            </w:pPr>
            <w:r w:rsidRPr="000D6796">
              <w:rPr>
                <w:rFonts w:ascii="Times New Roman" w:eastAsia="Times New Roman" w:hAnsi="Times New Roman" w:cs="Times New Roman"/>
                <w:color w:val="4472C4"/>
                <w:sz w:val="20"/>
                <w:szCs w:val="20"/>
                <w:lang w:eastAsia="ru-RU"/>
              </w:rPr>
              <w:t>Указывают в заявке конкретное значение характеристики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666" w:type="pct"/>
            <w:tcBorders>
              <w:top w:val="nil"/>
              <w:left w:val="single" w:sz="4" w:space="0" w:color="auto"/>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Потеря влаги на V500 мл (показатель эффективности тепловлагообмена)</w:t>
            </w:r>
          </w:p>
        </w:tc>
        <w:tc>
          <w:tcPr>
            <w:tcW w:w="651"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Calibri" w:eastAsia="Times New Roman" w:hAnsi="Calibri" w:cs="Times New Roman"/>
                <w:color w:val="000000"/>
                <w:sz w:val="20"/>
                <w:szCs w:val="20"/>
                <w:lang w:eastAsia="ru-RU"/>
              </w:rPr>
              <w:t>≤</w:t>
            </w:r>
            <w:r w:rsidRPr="000D6796">
              <w:rPr>
                <w:rFonts w:ascii="Times New Roman" w:eastAsia="Times New Roman" w:hAnsi="Times New Roman" w:cs="Times New Roman"/>
                <w:color w:val="000000"/>
                <w:sz w:val="20"/>
                <w:szCs w:val="20"/>
                <w:lang w:eastAsia="ru-RU"/>
              </w:rPr>
              <w:t xml:space="preserve"> 6</w:t>
            </w:r>
          </w:p>
        </w:tc>
        <w:tc>
          <w:tcPr>
            <w:tcW w:w="493"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Миллиграмм</w:t>
            </w:r>
          </w:p>
        </w:tc>
        <w:tc>
          <w:tcPr>
            <w:tcW w:w="359"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4472C4"/>
                <w:sz w:val="20"/>
                <w:szCs w:val="20"/>
                <w:lang w:eastAsia="ru-RU"/>
              </w:rPr>
            </w:pPr>
            <w:r w:rsidRPr="000D6796">
              <w:rPr>
                <w:rFonts w:ascii="Times New Roman" w:eastAsia="Times New Roman" w:hAnsi="Times New Roman" w:cs="Times New Roman"/>
                <w:color w:val="4472C4"/>
                <w:sz w:val="20"/>
                <w:szCs w:val="20"/>
                <w:lang w:eastAsia="ru-RU"/>
              </w:rPr>
              <w:t>Указывают в заявке конкретное значение характеристики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666" w:type="pct"/>
            <w:tcBorders>
              <w:top w:val="nil"/>
              <w:left w:val="single" w:sz="4" w:space="0" w:color="auto"/>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Увлажнение 32 мг Н2О (обеспечивает увлажнение дыхательной смеси)</w:t>
            </w:r>
          </w:p>
        </w:tc>
        <w:tc>
          <w:tcPr>
            <w:tcW w:w="651"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Соответствие</w:t>
            </w:r>
          </w:p>
        </w:tc>
        <w:tc>
          <w:tcPr>
            <w:tcW w:w="493"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nil"/>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09" w:type="pct"/>
            <w:tcBorders>
              <w:top w:val="nil"/>
              <w:left w:val="nil"/>
              <w:bottom w:val="nil"/>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666" w:type="pct"/>
            <w:tcBorders>
              <w:top w:val="nil"/>
              <w:left w:val="single" w:sz="4" w:space="0" w:color="auto"/>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Вес фильтра (не оказывает давление на эндотрахеальную или трахеостомическую трубку при креплении фильтра между эндотрахеальной или трахеостомической трубкой и дыхательным контуром)</w:t>
            </w:r>
          </w:p>
        </w:tc>
        <w:tc>
          <w:tcPr>
            <w:tcW w:w="651"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Calibri" w:eastAsia="Times New Roman" w:hAnsi="Calibri" w:cs="Times New Roman"/>
                <w:color w:val="000000"/>
                <w:sz w:val="20"/>
                <w:szCs w:val="20"/>
                <w:lang w:eastAsia="ru-RU"/>
              </w:rPr>
            </w:pPr>
            <w:r w:rsidRPr="000D6796">
              <w:rPr>
                <w:rFonts w:ascii="Calibri" w:eastAsia="Times New Roman" w:hAnsi="Calibri" w:cs="Times New Roman"/>
                <w:color w:val="000000"/>
                <w:sz w:val="20"/>
                <w:szCs w:val="20"/>
                <w:lang w:eastAsia="ru-RU"/>
              </w:rPr>
              <w:t>≤ 32</w:t>
            </w:r>
          </w:p>
        </w:tc>
        <w:tc>
          <w:tcPr>
            <w:tcW w:w="493"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Грамм</w:t>
            </w:r>
          </w:p>
        </w:tc>
        <w:tc>
          <w:tcPr>
            <w:tcW w:w="359"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4472C4"/>
                <w:sz w:val="20"/>
                <w:szCs w:val="20"/>
                <w:lang w:eastAsia="ru-RU"/>
              </w:rPr>
            </w:pPr>
            <w:r w:rsidRPr="000D6796">
              <w:rPr>
                <w:rFonts w:ascii="Times New Roman" w:eastAsia="Times New Roman" w:hAnsi="Times New Roman" w:cs="Times New Roman"/>
                <w:color w:val="4472C4"/>
                <w:sz w:val="20"/>
                <w:szCs w:val="20"/>
                <w:lang w:eastAsia="ru-RU"/>
              </w:rPr>
              <w:t>Указывают в заявке конкретное значение характеристики</w:t>
            </w:r>
          </w:p>
        </w:tc>
        <w:tc>
          <w:tcPr>
            <w:tcW w:w="411" w:type="pct"/>
            <w:tcBorders>
              <w:top w:val="nil"/>
              <w:left w:val="single" w:sz="4" w:space="0" w:color="auto"/>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nil"/>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r w:rsidR="000D6796" w:rsidRPr="000D6796" w:rsidTr="000D6796">
        <w:trPr>
          <w:trHeight w:val="20"/>
        </w:trPr>
        <w:tc>
          <w:tcPr>
            <w:tcW w:w="114" w:type="pct"/>
            <w:tcBorders>
              <w:top w:val="nil"/>
              <w:left w:val="single" w:sz="4" w:space="0" w:color="auto"/>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766"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09"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666" w:type="pct"/>
            <w:tcBorders>
              <w:top w:val="nil"/>
              <w:left w:val="single" w:sz="4" w:space="0" w:color="auto"/>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Коннекторы 22M/15F – 22F/15M. СО2-порт с разъемом Luer-Lock, закрытым винтовой заглушкой. (для подключения к трубке и контуру, для подключения линии мониторинга СО2)</w:t>
            </w:r>
          </w:p>
        </w:tc>
        <w:tc>
          <w:tcPr>
            <w:tcW w:w="651"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Наличие</w:t>
            </w:r>
          </w:p>
        </w:tc>
        <w:tc>
          <w:tcPr>
            <w:tcW w:w="493"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 </w:t>
            </w:r>
          </w:p>
        </w:tc>
        <w:tc>
          <w:tcPr>
            <w:tcW w:w="359" w:type="pct"/>
            <w:tcBorders>
              <w:top w:val="nil"/>
              <w:left w:val="nil"/>
              <w:bottom w:val="single" w:sz="4" w:space="0" w:color="auto"/>
              <w:right w:val="single" w:sz="4" w:space="0" w:color="auto"/>
            </w:tcBorders>
            <w:shd w:val="clear" w:color="auto" w:fill="auto"/>
            <w:hideMark/>
          </w:tcPr>
          <w:p w:rsidR="000D6796" w:rsidRPr="000D6796" w:rsidRDefault="000D6796" w:rsidP="000D6796">
            <w:pPr>
              <w:spacing w:after="0" w:line="240" w:lineRule="auto"/>
              <w:rPr>
                <w:rFonts w:ascii="Times New Roman" w:eastAsia="Times New Roman" w:hAnsi="Times New Roman" w:cs="Times New Roman"/>
                <w:color w:val="000000"/>
                <w:sz w:val="20"/>
                <w:szCs w:val="20"/>
                <w:lang w:eastAsia="ru-RU"/>
              </w:rPr>
            </w:pPr>
            <w:r w:rsidRPr="000D6796">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62"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357"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5"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223"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c>
          <w:tcPr>
            <w:tcW w:w="192" w:type="pct"/>
            <w:tcBorders>
              <w:top w:val="nil"/>
              <w:left w:val="nil"/>
              <w:bottom w:val="single" w:sz="4" w:space="0" w:color="auto"/>
              <w:right w:val="single" w:sz="4" w:space="0" w:color="auto"/>
            </w:tcBorders>
            <w:shd w:val="clear" w:color="auto" w:fill="auto"/>
            <w:noWrap/>
            <w:vAlign w:val="bottom"/>
            <w:hideMark/>
          </w:tcPr>
          <w:p w:rsidR="000D6796" w:rsidRPr="000D6796" w:rsidRDefault="000D6796" w:rsidP="000D6796">
            <w:pPr>
              <w:spacing w:after="0" w:line="240" w:lineRule="auto"/>
              <w:rPr>
                <w:rFonts w:ascii="Calibri" w:eastAsia="Times New Roman" w:hAnsi="Calibri" w:cs="Times New Roman"/>
                <w:color w:val="000000"/>
                <w:lang w:eastAsia="ru-RU"/>
              </w:rPr>
            </w:pPr>
            <w:r w:rsidRPr="000D6796">
              <w:rPr>
                <w:rFonts w:ascii="Calibri" w:eastAsia="Times New Roman" w:hAnsi="Calibri" w:cs="Times New Roman"/>
                <w:color w:val="000000"/>
                <w:lang w:eastAsia="ru-RU"/>
              </w:rPr>
              <w:t> </w:t>
            </w:r>
          </w:p>
        </w:tc>
      </w:tr>
    </w:tbl>
    <w:p w:rsidR="000D6796" w:rsidRDefault="000D6796" w:rsidP="00277758">
      <w:pPr>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170252" w:rsidRDefault="00170252" w:rsidP="000820E3">
      <w:pPr>
        <w:rPr>
          <w:rFonts w:ascii="Times New Roman" w:hAnsi="Times New Roman" w:cs="Times New Roman"/>
          <w:b/>
          <w:sz w:val="28"/>
          <w:szCs w:val="28"/>
        </w:rPr>
      </w:pPr>
    </w:p>
    <w:sectPr w:rsidR="00170252" w:rsidSect="000D6796">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479" w:rsidRDefault="00B41479">
      <w:pPr>
        <w:spacing w:after="0" w:line="240" w:lineRule="auto"/>
      </w:pPr>
      <w:r>
        <w:separator/>
      </w:r>
    </w:p>
  </w:endnote>
  <w:endnote w:type="continuationSeparator" w:id="0">
    <w:p w:rsidR="00B41479" w:rsidRDefault="00B4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309B2" w:rsidRDefault="006309B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309B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309B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309B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309B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B5EB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309B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B5EB4">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479" w:rsidRDefault="00B41479">
      <w:pPr>
        <w:spacing w:after="0" w:line="240" w:lineRule="auto"/>
      </w:pPr>
      <w:r>
        <w:separator/>
      </w:r>
    </w:p>
  </w:footnote>
  <w:footnote w:type="continuationSeparator" w:id="0">
    <w:p w:rsidR="00B41479" w:rsidRDefault="00B4147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309B2" w:rsidRDefault="006309B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309B2" w:rsidRDefault="006309B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309B2" w:rsidRDefault="006309B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D6796"/>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1647A"/>
    <w:rsid w:val="00221C8B"/>
    <w:rsid w:val="00225BCF"/>
    <w:rsid w:val="002329D0"/>
    <w:rsid w:val="002420F4"/>
    <w:rsid w:val="00242896"/>
    <w:rsid w:val="00251D64"/>
    <w:rsid w:val="00255BA3"/>
    <w:rsid w:val="002602CF"/>
    <w:rsid w:val="00262242"/>
    <w:rsid w:val="0027397C"/>
    <w:rsid w:val="0027696D"/>
    <w:rsid w:val="00277758"/>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274E6"/>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09B2"/>
    <w:rsid w:val="00632D4D"/>
    <w:rsid w:val="00637F5D"/>
    <w:rsid w:val="006420B2"/>
    <w:rsid w:val="00642D06"/>
    <w:rsid w:val="006474B5"/>
    <w:rsid w:val="00650AB9"/>
    <w:rsid w:val="00680267"/>
    <w:rsid w:val="00680B51"/>
    <w:rsid w:val="00680DD0"/>
    <w:rsid w:val="00683724"/>
    <w:rsid w:val="00692F2A"/>
    <w:rsid w:val="006A0CDA"/>
    <w:rsid w:val="006B0C1A"/>
    <w:rsid w:val="006B2380"/>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41479"/>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CF52FF"/>
    <w:rsid w:val="00D04875"/>
    <w:rsid w:val="00D11DE0"/>
    <w:rsid w:val="00D155B7"/>
    <w:rsid w:val="00D17764"/>
    <w:rsid w:val="00D2444F"/>
    <w:rsid w:val="00D27E31"/>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5E9E"/>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4646"/>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B5EB4"/>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msonormal0">
    <w:name w:val="msonormal"/>
    <w:basedOn w:val="a0"/>
    <w:rsid w:val="000D67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0D6796"/>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0"/>
    <w:rsid w:val="000D6796"/>
    <w:pPr>
      <w:spacing w:before="100" w:beforeAutospacing="1" w:after="100" w:afterAutospacing="1" w:line="240" w:lineRule="auto"/>
    </w:pPr>
    <w:rPr>
      <w:rFonts w:ascii="Calibri" w:eastAsia="Times New Roman" w:hAnsi="Calibri" w:cs="Times New Roman"/>
      <w:color w:val="000000"/>
      <w:sz w:val="20"/>
      <w:szCs w:val="20"/>
      <w:lang w:eastAsia="ru-RU"/>
    </w:rPr>
  </w:style>
  <w:style w:type="paragraph" w:customStyle="1" w:styleId="xl64">
    <w:name w:val="xl64"/>
    <w:basedOn w:val="a0"/>
    <w:rsid w:val="000D6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5">
    <w:name w:val="xl65"/>
    <w:basedOn w:val="a0"/>
    <w:rsid w:val="000D679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0"/>
    <w:rsid w:val="000D679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0D679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0D679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0"/>
    <w:rsid w:val="000D679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70">
    <w:name w:val="xl70"/>
    <w:basedOn w:val="a0"/>
    <w:rsid w:val="000D6796"/>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0"/>
    <w:rsid w:val="000D6796"/>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2">
    <w:name w:val="xl72"/>
    <w:basedOn w:val="a0"/>
    <w:rsid w:val="000D679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0"/>
    <w:rsid w:val="000D6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0"/>
    <w:rsid w:val="000D6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5">
    <w:name w:val="xl75"/>
    <w:basedOn w:val="a0"/>
    <w:rsid w:val="000D6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0"/>
      <w:szCs w:val="20"/>
      <w:lang w:eastAsia="ru-RU"/>
    </w:rPr>
  </w:style>
  <w:style w:type="paragraph" w:customStyle="1" w:styleId="xl76">
    <w:name w:val="xl76"/>
    <w:basedOn w:val="a0"/>
    <w:rsid w:val="000D6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0"/>
    <w:rsid w:val="000D6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0"/>
    <w:rsid w:val="000D679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0"/>
      <w:szCs w:val="20"/>
      <w:lang w:eastAsia="ru-RU"/>
    </w:rPr>
  </w:style>
  <w:style w:type="paragraph" w:customStyle="1" w:styleId="xl79">
    <w:name w:val="xl79"/>
    <w:basedOn w:val="a0"/>
    <w:rsid w:val="000D67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0"/>
      <w:szCs w:val="20"/>
      <w:lang w:eastAsia="ru-RU"/>
    </w:rPr>
  </w:style>
  <w:style w:type="paragraph" w:customStyle="1" w:styleId="xl80">
    <w:name w:val="xl80"/>
    <w:basedOn w:val="a0"/>
    <w:rsid w:val="000D6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0"/>
      <w:szCs w:val="20"/>
      <w:lang w:eastAsia="ru-RU"/>
    </w:rPr>
  </w:style>
  <w:style w:type="paragraph" w:customStyle="1" w:styleId="xl81">
    <w:name w:val="xl81"/>
    <w:basedOn w:val="a0"/>
    <w:rsid w:val="000D6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2">
    <w:name w:val="xl82"/>
    <w:basedOn w:val="a0"/>
    <w:rsid w:val="000D6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3">
    <w:name w:val="xl83"/>
    <w:basedOn w:val="a0"/>
    <w:rsid w:val="000D6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84">
    <w:name w:val="xl84"/>
    <w:basedOn w:val="a0"/>
    <w:rsid w:val="000D6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4472C4"/>
      <w:sz w:val="20"/>
      <w:szCs w:val="20"/>
      <w:lang w:eastAsia="ru-RU"/>
    </w:rPr>
  </w:style>
  <w:style w:type="paragraph" w:customStyle="1" w:styleId="xl85">
    <w:name w:val="xl85"/>
    <w:basedOn w:val="a0"/>
    <w:rsid w:val="000D6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6">
    <w:name w:val="xl86"/>
    <w:basedOn w:val="a0"/>
    <w:rsid w:val="000D67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7">
    <w:name w:val="xl87"/>
    <w:basedOn w:val="a0"/>
    <w:rsid w:val="000D679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0"/>
    <w:rsid w:val="000D679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0"/>
    <w:rsid w:val="000D679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0">
    <w:name w:val="xl90"/>
    <w:basedOn w:val="a0"/>
    <w:rsid w:val="000D679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004400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3CEA4-20B2-4D2F-8E56-EBE907554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3177</Words>
  <Characters>18111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2026-04-01T06:27:00Z</dcterms:created>
  <dcterms:modified xsi:type="dcterms:W3CDTF">2026-04-01T06:27:00Z</dcterms:modified>
</cp:coreProperties>
</file>