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05-07/636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6600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12" w:type="pct"/>
        <w:tblLayout w:type="fixed"/>
        <w:tblLook w:val="04A0" w:firstRow="1" w:lastRow="0" w:firstColumn="1" w:lastColumn="0" w:noHBand="0" w:noVBand="1"/>
      </w:tblPr>
      <w:tblGrid>
        <w:gridCol w:w="1526"/>
        <w:gridCol w:w="1134"/>
        <w:gridCol w:w="2225"/>
        <w:gridCol w:w="1319"/>
        <w:gridCol w:w="567"/>
        <w:gridCol w:w="2425"/>
        <w:gridCol w:w="2015"/>
        <w:gridCol w:w="862"/>
        <w:gridCol w:w="718"/>
        <w:gridCol w:w="865"/>
        <w:gridCol w:w="580"/>
        <w:gridCol w:w="718"/>
        <w:gridCol w:w="714"/>
      </w:tblGrid>
      <w:tr w:rsidR="00FA0D6A" w:rsidRPr="00155D15" w:rsidTr="008048FE">
        <w:trPr>
          <w:trHeight w:val="499"/>
        </w:trPr>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Наименование товара, работы, услуги</w:t>
            </w:r>
          </w:p>
        </w:tc>
        <w:tc>
          <w:tcPr>
            <w:tcW w:w="362" w:type="pct"/>
            <w:vMerge w:val="restart"/>
            <w:tcBorders>
              <w:top w:val="single" w:sz="4" w:space="0" w:color="auto"/>
              <w:left w:val="single" w:sz="4" w:space="0" w:color="auto"/>
              <w:bottom w:val="single" w:sz="4" w:space="0" w:color="auto"/>
              <w:right w:val="single" w:sz="4" w:space="0" w:color="auto"/>
            </w:tcBorders>
            <w:vAlign w:val="center"/>
            <w:hideMark/>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Код позиции</w:t>
            </w:r>
          </w:p>
        </w:tc>
        <w:tc>
          <w:tcPr>
            <w:tcW w:w="2086" w:type="pct"/>
            <w:gridSpan w:val="4"/>
            <w:tcBorders>
              <w:top w:val="single" w:sz="4" w:space="0" w:color="auto"/>
              <w:left w:val="nil"/>
              <w:bottom w:val="single" w:sz="4" w:space="0" w:color="auto"/>
              <w:right w:val="single" w:sz="4" w:space="0" w:color="auto"/>
            </w:tcBorders>
            <w:vAlign w:val="center"/>
            <w:hideMark/>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Характеристики товара, работы, услуги</w:t>
            </w:r>
          </w:p>
        </w:tc>
        <w:tc>
          <w:tcPr>
            <w:tcW w:w="643" w:type="pct"/>
            <w:vMerge w:val="restart"/>
            <w:tcBorders>
              <w:top w:val="single" w:sz="4" w:space="0" w:color="auto"/>
              <w:left w:val="single" w:sz="4" w:space="0" w:color="auto"/>
              <w:right w:val="single" w:sz="4" w:space="0" w:color="auto"/>
            </w:tcBorders>
          </w:tcPr>
          <w:p w:rsidR="00FA0D6A"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E02085">
              <w:rPr>
                <w:rFonts w:ascii="Times New Roman" w:eastAsia="Times New Roman" w:hAnsi="Times New Roman" w:cs="Times New Roman"/>
                <w:b/>
                <w:bCs/>
                <w:color w:val="000000"/>
                <w:sz w:val="16"/>
                <w:szCs w:val="16"/>
                <w:lang w:eastAsia="ru-RU"/>
              </w:rPr>
              <w:t>Обоснование дополнительных характеристик</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rsidR="00FA0D6A"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Количество</w:t>
            </w: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(объем работы, услуги)</w:t>
            </w:r>
          </w:p>
        </w:tc>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Единица измерения</w:t>
            </w:r>
          </w:p>
        </w:tc>
        <w:tc>
          <w:tcPr>
            <w:tcW w:w="276" w:type="pct"/>
            <w:vMerge w:val="restart"/>
            <w:tcBorders>
              <w:top w:val="single" w:sz="4" w:space="0" w:color="auto"/>
              <w:left w:val="single" w:sz="4" w:space="0" w:color="auto"/>
              <w:right w:val="single" w:sz="4" w:space="0" w:color="auto"/>
            </w:tcBorders>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Страна происхождения</w:t>
            </w:r>
          </w:p>
        </w:tc>
        <w:tc>
          <w:tcPr>
            <w:tcW w:w="185" w:type="pct"/>
            <w:vMerge w:val="restart"/>
            <w:tcBorders>
              <w:top w:val="single" w:sz="4" w:space="0" w:color="auto"/>
              <w:left w:val="single" w:sz="4" w:space="0" w:color="auto"/>
              <w:right w:val="single" w:sz="4" w:space="0" w:color="auto"/>
            </w:tcBorders>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НДС%</w:t>
            </w:r>
          </w:p>
        </w:tc>
        <w:tc>
          <w:tcPr>
            <w:tcW w:w="229" w:type="pct"/>
            <w:vMerge w:val="restart"/>
            <w:tcBorders>
              <w:top w:val="single" w:sz="4" w:space="0" w:color="auto"/>
              <w:left w:val="single" w:sz="4" w:space="0" w:color="auto"/>
              <w:right w:val="single" w:sz="4" w:space="0" w:color="auto"/>
            </w:tcBorders>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Цена за единицу без</w:t>
            </w:r>
          </w:p>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НДС</w:t>
            </w:r>
          </w:p>
        </w:tc>
        <w:tc>
          <w:tcPr>
            <w:tcW w:w="228" w:type="pct"/>
            <w:vMerge w:val="restart"/>
            <w:tcBorders>
              <w:top w:val="single" w:sz="4" w:space="0" w:color="auto"/>
              <w:left w:val="single" w:sz="4" w:space="0" w:color="auto"/>
              <w:right w:val="single" w:sz="4" w:space="0" w:color="auto"/>
            </w:tcBorders>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p>
          <w:p w:rsidR="00FA0D6A" w:rsidRPr="005C5A65" w:rsidRDefault="00FA0D6A" w:rsidP="008048FE">
            <w:pPr>
              <w:contextualSpacing/>
              <w:jc w:val="center"/>
              <w:rPr>
                <w:rFonts w:ascii="Times New Roman" w:eastAsia="Times New Roman" w:hAnsi="Times New Roman" w:cs="Times New Roman"/>
                <w:b/>
                <w:sz w:val="16"/>
                <w:szCs w:val="16"/>
                <w:lang w:eastAsia="ru-RU"/>
              </w:rPr>
            </w:pPr>
          </w:p>
          <w:p w:rsidR="00FA0D6A" w:rsidRPr="005C5A65" w:rsidRDefault="00FA0D6A" w:rsidP="008048FE">
            <w:pPr>
              <w:contextualSpacing/>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Сумма без</w:t>
            </w:r>
            <w:r w:rsidRPr="005C5A65">
              <w:rPr>
                <w:rFonts w:ascii="Times New Roman" w:eastAsia="Times New Roman" w:hAnsi="Times New Roman" w:cs="Times New Roman"/>
                <w:b/>
                <w:sz w:val="16"/>
                <w:szCs w:val="16"/>
                <w:lang w:eastAsia="ru-RU"/>
              </w:rPr>
              <w:t xml:space="preserve"> НДС</w:t>
            </w:r>
          </w:p>
        </w:tc>
      </w:tr>
      <w:tr w:rsidR="00FA0D6A" w:rsidRPr="00155D15" w:rsidTr="008048FE">
        <w:trPr>
          <w:trHeight w:val="499"/>
        </w:trPr>
        <w:tc>
          <w:tcPr>
            <w:tcW w:w="487" w:type="pct"/>
            <w:vMerge/>
            <w:tcBorders>
              <w:top w:val="single" w:sz="4" w:space="0" w:color="auto"/>
              <w:left w:val="single" w:sz="4" w:space="0" w:color="auto"/>
              <w:bottom w:val="single" w:sz="4" w:space="0" w:color="auto"/>
              <w:right w:val="single" w:sz="4" w:space="0" w:color="auto"/>
            </w:tcBorders>
            <w:vAlign w:val="center"/>
            <w:hideMark/>
          </w:tcPr>
          <w:p w:rsidR="00FA0D6A" w:rsidRPr="005C5A65" w:rsidRDefault="00FA0D6A" w:rsidP="008048FE">
            <w:pPr>
              <w:spacing w:after="0" w:line="240" w:lineRule="auto"/>
              <w:contextualSpacing/>
              <w:rPr>
                <w:rFonts w:ascii="Times New Roman" w:eastAsia="Times New Roman" w:hAnsi="Times New Roman" w:cs="Times New Roman"/>
                <w:b/>
                <w:bCs/>
                <w:color w:val="000000"/>
                <w:sz w:val="16"/>
                <w:szCs w:val="16"/>
                <w:lang w:eastAsia="ru-RU"/>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FA0D6A" w:rsidRPr="005C5A65" w:rsidRDefault="00FA0D6A" w:rsidP="008048FE">
            <w:pPr>
              <w:spacing w:after="0" w:line="240" w:lineRule="auto"/>
              <w:contextualSpacing/>
              <w:rPr>
                <w:rFonts w:ascii="Times New Roman" w:eastAsia="Times New Roman" w:hAnsi="Times New Roman" w:cs="Times New Roman"/>
                <w:b/>
                <w:bCs/>
                <w:color w:val="000000"/>
                <w:sz w:val="16"/>
                <w:szCs w:val="16"/>
                <w:lang w:eastAsia="ru-RU"/>
              </w:rPr>
            </w:pPr>
          </w:p>
        </w:tc>
        <w:tc>
          <w:tcPr>
            <w:tcW w:w="710" w:type="pct"/>
            <w:tcBorders>
              <w:top w:val="nil"/>
              <w:left w:val="nil"/>
              <w:bottom w:val="single" w:sz="4" w:space="0" w:color="auto"/>
              <w:right w:val="single" w:sz="4" w:space="0" w:color="auto"/>
            </w:tcBorders>
            <w:vAlign w:val="center"/>
            <w:hideMark/>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Наименование характеристики</w:t>
            </w:r>
          </w:p>
        </w:tc>
        <w:tc>
          <w:tcPr>
            <w:tcW w:w="421" w:type="pct"/>
            <w:tcBorders>
              <w:top w:val="nil"/>
              <w:left w:val="nil"/>
              <w:bottom w:val="single" w:sz="4" w:space="0" w:color="auto"/>
              <w:right w:val="single" w:sz="4" w:space="0" w:color="auto"/>
            </w:tcBorders>
            <w:vAlign w:val="center"/>
            <w:hideMark/>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Значение характеристики</w:t>
            </w:r>
          </w:p>
        </w:tc>
        <w:tc>
          <w:tcPr>
            <w:tcW w:w="181" w:type="pct"/>
            <w:tcBorders>
              <w:top w:val="nil"/>
              <w:left w:val="nil"/>
              <w:bottom w:val="single" w:sz="4" w:space="0" w:color="auto"/>
              <w:right w:val="single" w:sz="4" w:space="0" w:color="auto"/>
            </w:tcBorders>
            <w:vAlign w:val="center"/>
            <w:hideMark/>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Единица измерения характеристики</w:t>
            </w:r>
          </w:p>
        </w:tc>
        <w:tc>
          <w:tcPr>
            <w:tcW w:w="774" w:type="pct"/>
            <w:tcBorders>
              <w:top w:val="nil"/>
              <w:left w:val="nil"/>
              <w:bottom w:val="single" w:sz="4" w:space="0" w:color="auto"/>
              <w:right w:val="single" w:sz="4" w:space="0" w:color="auto"/>
            </w:tcBorders>
            <w:vAlign w:val="center"/>
            <w:hideMark/>
          </w:tcPr>
          <w:p w:rsidR="00FA0D6A" w:rsidRPr="005C5A65" w:rsidRDefault="00FA0D6A" w:rsidP="008048FE">
            <w:pPr>
              <w:spacing w:after="0" w:line="240" w:lineRule="auto"/>
              <w:contextualSpacing/>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643" w:type="pct"/>
            <w:vMerge/>
            <w:tcBorders>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rPr>
                <w:rFonts w:ascii="Times New Roman" w:eastAsia="Times New Roman" w:hAnsi="Times New Roman" w:cs="Times New Roman"/>
                <w:bCs/>
                <w:color w:val="000000"/>
                <w:sz w:val="18"/>
                <w:szCs w:val="18"/>
                <w:lang w:eastAsia="ru-RU"/>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FA0D6A" w:rsidRPr="00155D15" w:rsidRDefault="00FA0D6A" w:rsidP="008048FE">
            <w:pPr>
              <w:spacing w:after="0" w:line="240" w:lineRule="auto"/>
              <w:contextualSpacing/>
              <w:rPr>
                <w:rFonts w:ascii="Times New Roman" w:eastAsia="Times New Roman" w:hAnsi="Times New Roman" w:cs="Times New Roman"/>
                <w:bCs/>
                <w:color w:val="000000"/>
                <w:sz w:val="18"/>
                <w:szCs w:val="18"/>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FA0D6A" w:rsidRPr="00155D15" w:rsidRDefault="00FA0D6A" w:rsidP="008048FE">
            <w:pPr>
              <w:spacing w:after="0" w:line="240" w:lineRule="auto"/>
              <w:contextualSpacing/>
              <w:rPr>
                <w:rFonts w:ascii="Times New Roman" w:eastAsia="Times New Roman" w:hAnsi="Times New Roman" w:cs="Times New Roman"/>
                <w:bCs/>
                <w:color w:val="000000"/>
                <w:sz w:val="18"/>
                <w:szCs w:val="18"/>
                <w:lang w:eastAsia="ru-RU"/>
              </w:rPr>
            </w:pPr>
          </w:p>
        </w:tc>
        <w:tc>
          <w:tcPr>
            <w:tcW w:w="276" w:type="pct"/>
            <w:vMerge/>
            <w:tcBorders>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rPr>
                <w:rFonts w:ascii="Times New Roman" w:eastAsia="Times New Roman" w:hAnsi="Times New Roman" w:cs="Times New Roman"/>
                <w:bCs/>
                <w:color w:val="000000"/>
                <w:sz w:val="18"/>
                <w:szCs w:val="18"/>
                <w:lang w:eastAsia="ru-RU"/>
              </w:rPr>
            </w:pPr>
          </w:p>
        </w:tc>
        <w:tc>
          <w:tcPr>
            <w:tcW w:w="185" w:type="pct"/>
            <w:vMerge/>
            <w:tcBorders>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rPr>
                <w:rFonts w:ascii="Times New Roman" w:eastAsia="Times New Roman" w:hAnsi="Times New Roman" w:cs="Times New Roman"/>
                <w:bCs/>
                <w:color w:val="000000"/>
                <w:sz w:val="18"/>
                <w:szCs w:val="18"/>
                <w:lang w:eastAsia="ru-RU"/>
              </w:rPr>
            </w:pPr>
          </w:p>
        </w:tc>
        <w:tc>
          <w:tcPr>
            <w:tcW w:w="229" w:type="pct"/>
            <w:vMerge/>
            <w:tcBorders>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rPr>
                <w:rFonts w:ascii="Times New Roman" w:eastAsia="Times New Roman" w:hAnsi="Times New Roman" w:cs="Times New Roman"/>
                <w:bCs/>
                <w:color w:val="000000"/>
                <w:sz w:val="18"/>
                <w:szCs w:val="18"/>
                <w:lang w:eastAsia="ru-RU"/>
              </w:rPr>
            </w:pPr>
          </w:p>
        </w:tc>
        <w:tc>
          <w:tcPr>
            <w:tcW w:w="228" w:type="pct"/>
            <w:vMerge/>
            <w:tcBorders>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rPr>
                <w:rFonts w:ascii="Times New Roman" w:eastAsia="Times New Roman" w:hAnsi="Times New Roman" w:cs="Times New Roman"/>
                <w:bCs/>
                <w:color w:val="000000"/>
                <w:sz w:val="18"/>
                <w:szCs w:val="18"/>
                <w:lang w:eastAsia="ru-RU"/>
              </w:rPr>
            </w:pPr>
          </w:p>
        </w:tc>
      </w:tr>
      <w:tr w:rsidR="00FA0D6A" w:rsidRPr="00155D15" w:rsidTr="008048FE">
        <w:trPr>
          <w:trHeight w:val="499"/>
        </w:trPr>
        <w:tc>
          <w:tcPr>
            <w:tcW w:w="487" w:type="pct"/>
            <w:vMerge w:val="restart"/>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r w:rsidRPr="004D6A3F">
              <w:rPr>
                <w:rFonts w:ascii="Times New Roman" w:hAnsi="Times New Roman" w:cs="Times New Roman"/>
                <w:sz w:val="16"/>
                <w:szCs w:val="16"/>
                <w:shd w:val="clear" w:color="auto" w:fill="FFFFFF"/>
              </w:rPr>
              <w:t>Маркер для локализации области патологии, имплантируемый</w:t>
            </w:r>
          </w:p>
        </w:tc>
        <w:tc>
          <w:tcPr>
            <w:tcW w:w="362" w:type="pct"/>
            <w:vMerge w:val="restart"/>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r w:rsidRPr="004D6A3F">
              <w:rPr>
                <w:rFonts w:ascii="Times New Roman" w:eastAsia="Times New Roman" w:hAnsi="Times New Roman" w:cs="Times New Roman"/>
                <w:sz w:val="16"/>
                <w:szCs w:val="16"/>
                <w:lang w:eastAsia="ru-RU"/>
              </w:rPr>
              <w:t>32.50.50.190-00000058**</w:t>
            </w:r>
          </w:p>
        </w:tc>
        <w:tc>
          <w:tcPr>
            <w:tcW w:w="710"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000000"/>
                <w:sz w:val="16"/>
                <w:szCs w:val="16"/>
              </w:rPr>
            </w:pPr>
            <w:r w:rsidRPr="00A008DE">
              <w:rPr>
                <w:rFonts w:ascii="Times New Roman" w:hAnsi="Times New Roman" w:cs="Times New Roman"/>
                <w:color w:val="000000"/>
                <w:sz w:val="16"/>
                <w:szCs w:val="16"/>
              </w:rPr>
              <w:t>Тип устройства</w:t>
            </w:r>
          </w:p>
        </w:tc>
        <w:tc>
          <w:tcPr>
            <w:tcW w:w="421"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000000"/>
                <w:sz w:val="16"/>
                <w:szCs w:val="16"/>
              </w:rPr>
            </w:pPr>
            <w:r w:rsidRPr="00A008DE">
              <w:rPr>
                <w:rFonts w:ascii="Times New Roman" w:hAnsi="Times New Roman" w:cs="Times New Roman"/>
                <w:color w:val="2C2D2E"/>
                <w:sz w:val="16"/>
                <w:szCs w:val="16"/>
                <w:shd w:val="clear" w:color="auto" w:fill="FFFFFF"/>
              </w:rPr>
              <w:t>локализационный маркер для постановки в ткани молочной железы</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r w:rsidRPr="00C5070E">
              <w:rPr>
                <w:rFonts w:ascii="Times New Roman" w:hAnsi="Times New Roman" w:cs="Times New Roman"/>
                <w:color w:val="000000"/>
                <w:sz w:val="16"/>
                <w:szCs w:val="16"/>
              </w:rPr>
              <w:t> </w:t>
            </w: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vMerge w:val="restart"/>
            <w:tcBorders>
              <w:top w:val="nil"/>
              <w:left w:val="nil"/>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Для обеспечения использования в соответствии с потребностями лечебного учреждения</w:t>
            </w:r>
          </w:p>
        </w:tc>
        <w:tc>
          <w:tcPr>
            <w:tcW w:w="275" w:type="pct"/>
            <w:vMerge w:val="restart"/>
            <w:tcBorders>
              <w:top w:val="single" w:sz="4" w:space="0" w:color="auto"/>
              <w:left w:val="single" w:sz="4" w:space="0" w:color="auto"/>
              <w:right w:val="single" w:sz="4" w:space="0" w:color="auto"/>
            </w:tcBorders>
            <w:vAlign w:val="center"/>
          </w:tcPr>
          <w:p w:rsidR="00FA0D6A" w:rsidRPr="002A02C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w:t>
            </w:r>
          </w:p>
        </w:tc>
        <w:tc>
          <w:tcPr>
            <w:tcW w:w="229" w:type="pct"/>
            <w:vMerge w:val="restart"/>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r w:rsidRPr="004D6A3F">
              <w:rPr>
                <w:rFonts w:ascii="Times New Roman" w:eastAsia="Times New Roman" w:hAnsi="Times New Roman" w:cs="Times New Roman"/>
                <w:color w:val="000000"/>
                <w:sz w:val="16"/>
                <w:szCs w:val="16"/>
                <w:lang w:eastAsia="ru-RU"/>
              </w:rPr>
              <w:t>шт</w:t>
            </w:r>
          </w:p>
        </w:tc>
        <w:tc>
          <w:tcPr>
            <w:tcW w:w="276" w:type="pct"/>
            <w:vMerge w:val="restart"/>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val="restart"/>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val="restart"/>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val="restart"/>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000000"/>
                <w:sz w:val="16"/>
                <w:szCs w:val="16"/>
              </w:rPr>
            </w:pPr>
            <w:r w:rsidRPr="00A008DE">
              <w:rPr>
                <w:rFonts w:ascii="Times New Roman" w:hAnsi="Times New Roman" w:cs="Times New Roman"/>
                <w:color w:val="000000"/>
                <w:sz w:val="16"/>
                <w:szCs w:val="16"/>
              </w:rPr>
              <w:t>Назначение</w:t>
            </w:r>
          </w:p>
        </w:tc>
        <w:tc>
          <w:tcPr>
            <w:tcW w:w="421"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для крепления к мягким тканям молочных желез, в том числе в области подмышечных лимфатических узлов, для долгосрочной рентгеноконтрастной маркировки места биопсии</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vMerge/>
            <w:tcBorders>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000000"/>
                <w:sz w:val="16"/>
                <w:szCs w:val="16"/>
                <w:highlight w:val="yellow"/>
              </w:rPr>
            </w:pPr>
            <w:r w:rsidRPr="00A008DE">
              <w:rPr>
                <w:rFonts w:ascii="Times New Roman" w:hAnsi="Times New Roman" w:cs="Times New Roman"/>
                <w:color w:val="000000"/>
                <w:sz w:val="16"/>
                <w:szCs w:val="16"/>
              </w:rPr>
              <w:t xml:space="preserve">Аппликатор </w:t>
            </w:r>
          </w:p>
        </w:tc>
        <w:tc>
          <w:tcPr>
            <w:tcW w:w="421" w:type="pct"/>
            <w:tcBorders>
              <w:top w:val="nil"/>
              <w:left w:val="nil"/>
              <w:bottom w:val="single" w:sz="8" w:space="0" w:color="000000"/>
              <w:right w:val="single" w:sz="8" w:space="0" w:color="000000"/>
            </w:tcBorders>
            <w:shd w:val="clear" w:color="auto" w:fill="auto"/>
            <w:vAlign w:val="center"/>
          </w:tcPr>
          <w:p w:rsidR="00FA0D6A" w:rsidRPr="003C0941"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жесткий, однократного применения</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4" w:space="0" w:color="auto"/>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возможности точной установки маркера</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000000"/>
                <w:sz w:val="16"/>
                <w:szCs w:val="16"/>
              </w:rPr>
            </w:pPr>
            <w:r w:rsidRPr="00A008DE">
              <w:rPr>
                <w:rFonts w:ascii="Times New Roman" w:hAnsi="Times New Roman" w:cs="Times New Roman"/>
                <w:color w:val="2C2D2E"/>
                <w:sz w:val="16"/>
                <w:szCs w:val="16"/>
                <w:shd w:val="clear" w:color="auto" w:fill="FFFFFF"/>
              </w:rPr>
              <w:t xml:space="preserve">Рукоятка аппликатора </w:t>
            </w:r>
          </w:p>
        </w:tc>
        <w:tc>
          <w:tcPr>
            <w:tcW w:w="421"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пластик или аналог</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Участник закупки указывает в заявке конкретное значение характеристики</w:t>
            </w:r>
            <w:r>
              <w:rPr>
                <w:rFonts w:ascii="Times New Roman" w:hAnsi="Times New Roman" w:cs="Times New Roman"/>
                <w:color w:val="000000"/>
                <w:sz w:val="16"/>
                <w:szCs w:val="16"/>
              </w:rPr>
              <w:t xml:space="preserve"> (В случае предложения аналога конкретным значением считается указание наименования материала-аналога)</w:t>
            </w:r>
          </w:p>
        </w:tc>
        <w:tc>
          <w:tcPr>
            <w:tcW w:w="643"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лёгкости медицинского изделия</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 xml:space="preserve">Игла аппликатора </w:t>
            </w:r>
          </w:p>
        </w:tc>
        <w:tc>
          <w:tcPr>
            <w:tcW w:w="421"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игла со скошенным кончиком</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облегчения пункции и проникновения канюли к месту установки маркера</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374C79" w:rsidRDefault="00FA0D6A" w:rsidP="008048FE">
            <w:pPr>
              <w:contextualSpacing/>
              <w:rPr>
                <w:rFonts w:ascii="Times New Roman" w:hAnsi="Times New Roman" w:cs="Times New Roman"/>
                <w:color w:val="2C2D2E"/>
                <w:sz w:val="16"/>
                <w:szCs w:val="16"/>
                <w:highlight w:val="yellow"/>
                <w:shd w:val="clear" w:color="auto" w:fill="FFFFFF"/>
              </w:rPr>
            </w:pPr>
            <w:r w:rsidRPr="00A008DE">
              <w:rPr>
                <w:rFonts w:ascii="Times New Roman" w:hAnsi="Times New Roman" w:cs="Times New Roman"/>
                <w:color w:val="2C2D2E"/>
                <w:sz w:val="16"/>
                <w:szCs w:val="16"/>
                <w:shd w:val="clear" w:color="auto" w:fill="FFFFFF"/>
              </w:rPr>
              <w:t>Возможность идентификации положения скоса иглы, за счет того, что логотип на рукоятке аппликатора соответствует расположению скоса иглы</w:t>
            </w:r>
          </w:p>
        </w:tc>
        <w:tc>
          <w:tcPr>
            <w:tcW w:w="421" w:type="pct"/>
            <w:tcBorders>
              <w:top w:val="nil"/>
              <w:left w:val="nil"/>
              <w:bottom w:val="single" w:sz="8" w:space="0" w:color="000000"/>
              <w:right w:val="single" w:sz="8" w:space="0" w:color="000000"/>
            </w:tcBorders>
            <w:shd w:val="clear" w:color="auto" w:fill="auto"/>
            <w:vAlign w:val="center"/>
          </w:tcPr>
          <w:p w:rsidR="00FA0D6A" w:rsidRPr="003C0941"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соответствие</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Для обеспечения </w:t>
            </w:r>
            <w:r w:rsidRPr="00A008DE">
              <w:rPr>
                <w:rFonts w:ascii="Times New Roman" w:hAnsi="Times New Roman" w:cs="Times New Roman"/>
                <w:color w:val="2C2D2E"/>
                <w:sz w:val="16"/>
                <w:szCs w:val="16"/>
                <w:shd w:val="clear" w:color="auto" w:fill="FFFFFF"/>
              </w:rPr>
              <w:t>идентификации положения скоса иглы</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114"/>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 xml:space="preserve">Материал иглы </w:t>
            </w:r>
          </w:p>
        </w:tc>
        <w:tc>
          <w:tcPr>
            <w:tcW w:w="421"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нержавеющая сталь 316L</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single" w:sz="4" w:space="0" w:color="auto"/>
              <w:left w:val="nil"/>
              <w:bottom w:val="single" w:sz="8" w:space="0" w:color="000000"/>
              <w:right w:val="single" w:sz="8" w:space="0" w:color="000000"/>
            </w:tcBorders>
            <w:shd w:val="clear" w:color="auto" w:fill="auto"/>
            <w:vAlign w:val="center"/>
          </w:tcPr>
          <w:p w:rsidR="00FA0D6A" w:rsidRPr="005A35D5" w:rsidRDefault="00FA0D6A" w:rsidP="008048FE">
            <w:pPr>
              <w:contextualSpacing/>
              <w:jc w:val="center"/>
              <w:rPr>
                <w:color w:val="000000"/>
                <w:sz w:val="20"/>
                <w:szCs w:val="20"/>
              </w:rPr>
            </w:pPr>
            <w:r w:rsidRPr="005A35D5">
              <w:rPr>
                <w:rFonts w:ascii="Times New Roman" w:hAnsi="Times New Roman" w:cs="Times New Roman"/>
                <w:color w:val="000000"/>
                <w:sz w:val="16"/>
                <w:szCs w:val="16"/>
              </w:rPr>
              <w:t>В соответствии с ГОСТ 19126-2007</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Диаметр иглы аппликатора</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17</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5D4F7B">
              <w:rPr>
                <w:rFonts w:ascii="Times New Roman" w:hAnsi="Times New Roman" w:cs="Times New Roman"/>
                <w:color w:val="000000"/>
                <w:sz w:val="16"/>
                <w:szCs w:val="16"/>
              </w:rPr>
              <w:t>G</w:t>
            </w: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для удобства медицинского персонала при выборе маркера, соответствующего анатомическим особенностям пациента</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 xml:space="preserve">Длина иглы аппликатора </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 xml:space="preserve">не менее 10 </w:t>
            </w:r>
          </w:p>
        </w:tc>
        <w:tc>
          <w:tcPr>
            <w:tcW w:w="181" w:type="pct"/>
            <w:tcBorders>
              <w:top w:val="nil"/>
              <w:left w:val="nil"/>
              <w:bottom w:val="single" w:sz="8" w:space="0" w:color="000000"/>
              <w:right w:val="single" w:sz="8" w:space="0" w:color="000000"/>
            </w:tcBorders>
            <w:shd w:val="clear" w:color="auto" w:fill="auto"/>
            <w:vAlign w:val="center"/>
          </w:tcPr>
          <w:p w:rsidR="00FA0D6A" w:rsidRPr="005D4F7B"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см</w:t>
            </w:r>
          </w:p>
        </w:tc>
        <w:tc>
          <w:tcPr>
            <w:tcW w:w="774" w:type="pct"/>
            <w:tcBorders>
              <w:top w:val="nil"/>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Традиционное обозначение наружного размера необходимо для удобства медицинского персонала при выборе изделия, соответствующего анатомическим особенностям пациента</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5F5405" w:rsidRDefault="00FA0D6A" w:rsidP="008048FE">
            <w:pPr>
              <w:contextualSpacing/>
              <w:rPr>
                <w:rFonts w:ascii="Times New Roman" w:hAnsi="Times New Roman" w:cs="Times New Roman"/>
                <w:color w:val="2C2D2E"/>
                <w:sz w:val="16"/>
                <w:szCs w:val="16"/>
                <w:highlight w:val="yellow"/>
                <w:shd w:val="clear" w:color="auto" w:fill="FFFFFF"/>
              </w:rPr>
            </w:pPr>
            <w:r w:rsidRPr="00A008DE">
              <w:rPr>
                <w:rFonts w:ascii="Times New Roman" w:hAnsi="Times New Roman" w:cs="Times New Roman"/>
                <w:color w:val="2C2D2E"/>
                <w:sz w:val="16"/>
                <w:szCs w:val="16"/>
                <w:shd w:val="clear" w:color="auto" w:fill="FFFFFF"/>
              </w:rPr>
              <w:t>Наличие посантиметровой шкалы глубины введения на игле</w:t>
            </w:r>
          </w:p>
        </w:tc>
        <w:tc>
          <w:tcPr>
            <w:tcW w:w="421" w:type="pct"/>
            <w:tcBorders>
              <w:top w:val="nil"/>
              <w:left w:val="nil"/>
              <w:bottom w:val="single" w:sz="8" w:space="0" w:color="000000"/>
              <w:right w:val="single" w:sz="8" w:space="0" w:color="000000"/>
            </w:tcBorders>
            <w:shd w:val="clear" w:color="auto" w:fill="auto"/>
            <w:vAlign w:val="center"/>
          </w:tcPr>
          <w:p w:rsidR="00FA0D6A" w:rsidRPr="003C0941"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соответствие</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визуального контроля за глубиной введения</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0367B9" w:rsidRDefault="00FA0D6A" w:rsidP="008048FE">
            <w:pPr>
              <w:contextualSpacing/>
              <w:rPr>
                <w:rFonts w:ascii="Times New Roman" w:hAnsi="Times New Roman" w:cs="Times New Roman"/>
                <w:color w:val="2C2D2E"/>
                <w:sz w:val="16"/>
                <w:szCs w:val="16"/>
                <w:highlight w:val="yellow"/>
                <w:shd w:val="clear" w:color="auto" w:fill="FFFFFF"/>
              </w:rPr>
            </w:pPr>
            <w:r w:rsidRPr="00A008DE">
              <w:rPr>
                <w:rFonts w:ascii="Times New Roman" w:hAnsi="Times New Roman" w:cs="Times New Roman"/>
                <w:color w:val="2C2D2E"/>
                <w:sz w:val="16"/>
                <w:szCs w:val="16"/>
                <w:shd w:val="clear" w:color="auto" w:fill="FFFFFF"/>
              </w:rPr>
              <w:t>Внутренний диаметр иглы0.047"" (1.19 мм)</w:t>
            </w:r>
          </w:p>
        </w:tc>
        <w:tc>
          <w:tcPr>
            <w:tcW w:w="421" w:type="pct"/>
            <w:tcBorders>
              <w:top w:val="nil"/>
              <w:left w:val="nil"/>
              <w:bottom w:val="single" w:sz="8" w:space="0" w:color="000000"/>
              <w:right w:val="single" w:sz="8" w:space="0" w:color="000000"/>
            </w:tcBorders>
            <w:shd w:val="clear" w:color="auto" w:fill="auto"/>
            <w:vAlign w:val="center"/>
          </w:tcPr>
          <w:p w:rsidR="00FA0D6A" w:rsidRPr="003C0941"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соответствие</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совместимости с маркером, находящимся внутри канюли</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0367B9" w:rsidRDefault="00FA0D6A" w:rsidP="008048FE">
            <w:pPr>
              <w:contextualSpacing/>
              <w:rPr>
                <w:rFonts w:ascii="Times New Roman" w:hAnsi="Times New Roman" w:cs="Times New Roman"/>
                <w:color w:val="2C2D2E"/>
                <w:sz w:val="16"/>
                <w:szCs w:val="16"/>
                <w:highlight w:val="yellow"/>
                <w:shd w:val="clear" w:color="auto" w:fill="FFFFFF"/>
              </w:rPr>
            </w:pPr>
            <w:r w:rsidRPr="00A008DE">
              <w:rPr>
                <w:rFonts w:ascii="Times New Roman" w:hAnsi="Times New Roman" w:cs="Times New Roman"/>
                <w:color w:val="2C2D2E"/>
                <w:sz w:val="16"/>
                <w:szCs w:val="16"/>
                <w:shd w:val="clear" w:color="auto" w:fill="FFFFFF"/>
              </w:rPr>
              <w:t>Наличие защитного колпачка для иглы</w:t>
            </w:r>
          </w:p>
        </w:tc>
        <w:tc>
          <w:tcPr>
            <w:tcW w:w="421" w:type="pct"/>
            <w:tcBorders>
              <w:top w:val="nil"/>
              <w:left w:val="nil"/>
              <w:bottom w:val="single" w:sz="8" w:space="0" w:color="000000"/>
              <w:right w:val="single" w:sz="8" w:space="0" w:color="000000"/>
            </w:tcBorders>
            <w:shd w:val="clear" w:color="auto" w:fill="auto"/>
            <w:vAlign w:val="center"/>
          </w:tcPr>
          <w:p w:rsidR="00FA0D6A" w:rsidRPr="003C0941"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соответствие</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дополнительной защиты</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0367B9" w:rsidRDefault="00FA0D6A" w:rsidP="008048FE">
            <w:pPr>
              <w:contextualSpacing/>
              <w:rPr>
                <w:rFonts w:ascii="Times New Roman" w:hAnsi="Times New Roman" w:cs="Times New Roman"/>
                <w:color w:val="2C2D2E"/>
                <w:sz w:val="16"/>
                <w:szCs w:val="16"/>
                <w:highlight w:val="yellow"/>
                <w:shd w:val="clear" w:color="auto" w:fill="FFFFFF"/>
              </w:rPr>
            </w:pPr>
            <w:r w:rsidRPr="00A008DE">
              <w:rPr>
                <w:rFonts w:ascii="Times New Roman" w:hAnsi="Times New Roman" w:cs="Times New Roman"/>
                <w:color w:val="2C2D2E"/>
                <w:sz w:val="16"/>
                <w:szCs w:val="16"/>
                <w:shd w:val="clear" w:color="auto" w:fill="FFFFFF"/>
              </w:rPr>
              <w:t>Размещение маркера - внутри иглы</w:t>
            </w:r>
          </w:p>
        </w:tc>
        <w:tc>
          <w:tcPr>
            <w:tcW w:w="421" w:type="pct"/>
            <w:tcBorders>
              <w:top w:val="nil"/>
              <w:left w:val="nil"/>
              <w:bottom w:val="single" w:sz="8" w:space="0" w:color="000000"/>
              <w:right w:val="single" w:sz="8" w:space="0" w:color="000000"/>
            </w:tcBorders>
            <w:shd w:val="clear" w:color="auto" w:fill="auto"/>
            <w:vAlign w:val="center"/>
          </w:tcPr>
          <w:p w:rsidR="00FA0D6A" w:rsidRPr="003C0941"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соответствие</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возможности точной установки маркера</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0367B9" w:rsidRDefault="00FA0D6A" w:rsidP="008048FE">
            <w:pPr>
              <w:contextualSpacing/>
              <w:rPr>
                <w:rFonts w:ascii="Times New Roman" w:hAnsi="Times New Roman" w:cs="Times New Roman"/>
                <w:color w:val="2C2D2E"/>
                <w:sz w:val="16"/>
                <w:szCs w:val="16"/>
                <w:highlight w:val="yellow"/>
                <w:shd w:val="clear" w:color="auto" w:fill="FFFFFF"/>
              </w:rPr>
            </w:pPr>
            <w:r w:rsidRPr="00A008DE">
              <w:rPr>
                <w:rFonts w:ascii="Times New Roman" w:hAnsi="Times New Roman" w:cs="Times New Roman"/>
                <w:color w:val="2C2D2E"/>
                <w:sz w:val="16"/>
                <w:szCs w:val="16"/>
                <w:shd w:val="clear" w:color="auto" w:fill="FFFFFF"/>
              </w:rPr>
              <w:t>Механизм установки - выталкивание маркера из просвета иглы поршнем</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наличие</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p>
        </w:tc>
        <w:tc>
          <w:tcPr>
            <w:tcW w:w="774" w:type="pct"/>
            <w:tcBorders>
              <w:top w:val="nil"/>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A008D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плавной и точной установки маркера в тканях</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 xml:space="preserve">Длина штока поршня </w:t>
            </w:r>
          </w:p>
        </w:tc>
        <w:tc>
          <w:tcPr>
            <w:tcW w:w="421"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 xml:space="preserve">не менее 117 </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774" w:type="pct"/>
            <w:tcBorders>
              <w:top w:val="nil"/>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совместимости с внешней канюлей</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 xml:space="preserve">Длина наружной части поршня </w:t>
            </w:r>
          </w:p>
        </w:tc>
        <w:tc>
          <w:tcPr>
            <w:tcW w:w="421" w:type="pct"/>
            <w:tcBorders>
              <w:top w:val="nil"/>
              <w:left w:val="nil"/>
              <w:bottom w:val="single" w:sz="8" w:space="0" w:color="000000"/>
              <w:right w:val="single" w:sz="8" w:space="0" w:color="000000"/>
            </w:tcBorders>
            <w:shd w:val="clear" w:color="auto" w:fill="auto"/>
            <w:vAlign w:val="center"/>
          </w:tcPr>
          <w:p w:rsidR="00FA0D6A" w:rsidRPr="00A008DE" w:rsidRDefault="00FA0D6A" w:rsidP="008048FE">
            <w:pPr>
              <w:contextualSpacing/>
              <w:rPr>
                <w:rFonts w:ascii="Times New Roman" w:hAnsi="Times New Roman" w:cs="Times New Roman"/>
                <w:color w:val="2C2D2E"/>
                <w:sz w:val="16"/>
                <w:szCs w:val="16"/>
                <w:shd w:val="clear" w:color="auto" w:fill="FFFFFF"/>
              </w:rPr>
            </w:pPr>
            <w:r w:rsidRPr="00A008DE">
              <w:rPr>
                <w:rFonts w:ascii="Times New Roman" w:hAnsi="Times New Roman" w:cs="Times New Roman"/>
                <w:color w:val="2C2D2E"/>
                <w:sz w:val="16"/>
                <w:szCs w:val="16"/>
                <w:shd w:val="clear" w:color="auto" w:fill="FFFFFF"/>
              </w:rPr>
              <w:t xml:space="preserve">не менее 74 </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удобства манипуляций</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16617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Механизм предотвращения преждевременной установки маркера при помощи блокируемого поршня</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наличие</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p>
        </w:tc>
        <w:tc>
          <w:tcPr>
            <w:tcW w:w="774" w:type="pct"/>
            <w:tcBorders>
              <w:top w:val="nil"/>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A008D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vMerge w:val="restart"/>
            <w:tcBorders>
              <w:top w:val="nil"/>
              <w:left w:val="nil"/>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предотвращения преждевременной установки маркера</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 xml:space="preserve">Визуализация положения блокировки </w:t>
            </w:r>
          </w:p>
        </w:tc>
        <w:tc>
          <w:tcPr>
            <w:tcW w:w="421"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красные индикаторные полосы для обозначения положения блокировки и разблокировки</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A008D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vMerge/>
            <w:tcBorders>
              <w:left w:val="nil"/>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16617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Совпадение красных полосок на поршне и аппликаторе соответствует позиции разблокировки</w:t>
            </w:r>
          </w:p>
        </w:tc>
        <w:tc>
          <w:tcPr>
            <w:tcW w:w="421" w:type="pct"/>
            <w:tcBorders>
              <w:top w:val="nil"/>
              <w:left w:val="nil"/>
              <w:bottom w:val="single" w:sz="8" w:space="0" w:color="000000"/>
              <w:right w:val="single" w:sz="8" w:space="0" w:color="000000"/>
            </w:tcBorders>
            <w:shd w:val="clear" w:color="auto" w:fill="auto"/>
            <w:vAlign w:val="center"/>
          </w:tcPr>
          <w:p w:rsidR="00FA0D6A" w:rsidRPr="003C0941"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соответствие</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vMerge/>
            <w:tcBorders>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 xml:space="preserve">Длина аппликатора </w:t>
            </w:r>
          </w:p>
        </w:tc>
        <w:tc>
          <w:tcPr>
            <w:tcW w:w="421"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 xml:space="preserve">не менее 80 </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удобства манипуляций</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5A35D5">
              <w:rPr>
                <w:rFonts w:ascii="Times New Roman" w:hAnsi="Times New Roman" w:cs="Times New Roman"/>
                <w:color w:val="2C2D2E"/>
                <w:sz w:val="16"/>
                <w:szCs w:val="16"/>
                <w:shd w:val="clear" w:color="auto" w:fill="FFFFFF"/>
              </w:rPr>
              <w:t>Прочность на разрыв ручки и иглы</w:t>
            </w:r>
          </w:p>
        </w:tc>
        <w:tc>
          <w:tcPr>
            <w:tcW w:w="421"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 xml:space="preserve">не менее 100 </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sidRPr="002F4DDD">
              <w:rPr>
                <w:rFonts w:ascii="Times New Roman" w:hAnsi="Times New Roman" w:cs="Times New Roman"/>
                <w:color w:val="2C2D2E"/>
                <w:sz w:val="16"/>
                <w:szCs w:val="16"/>
                <w:shd w:val="clear" w:color="auto" w:fill="FFFFFF"/>
              </w:rPr>
              <w:t>H</w:t>
            </w: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nil"/>
              <w:left w:val="nil"/>
              <w:bottom w:val="single" w:sz="8" w:space="0" w:color="auto"/>
              <w:right w:val="single" w:sz="8" w:space="0" w:color="000000"/>
            </w:tcBorders>
            <w:shd w:val="clear" w:color="auto" w:fill="auto"/>
          </w:tcPr>
          <w:p w:rsidR="00FA0D6A" w:rsidRDefault="00FA0D6A" w:rsidP="008048FE">
            <w:pPr>
              <w:contextualSpacing/>
              <w:jc w:val="center"/>
              <w:rPr>
                <w:rFonts w:ascii="Times New Roman" w:hAnsi="Times New Roman" w:cs="Times New Roman"/>
                <w:color w:val="000000"/>
                <w:sz w:val="16"/>
                <w:szCs w:val="16"/>
              </w:rPr>
            </w:pPr>
            <w:r w:rsidRPr="005A35D5">
              <w:rPr>
                <w:rFonts w:ascii="Times New Roman" w:hAnsi="Times New Roman" w:cs="Times New Roman"/>
                <w:color w:val="000000"/>
                <w:sz w:val="16"/>
                <w:szCs w:val="16"/>
              </w:rPr>
              <w:t>Для обеспечения прочности и надежности инструмента</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5A35D5">
              <w:rPr>
                <w:rFonts w:ascii="Times New Roman" w:hAnsi="Times New Roman" w:cs="Times New Roman"/>
                <w:color w:val="2C2D2E"/>
                <w:sz w:val="16"/>
                <w:szCs w:val="16"/>
                <w:shd w:val="clear" w:color="auto" w:fill="FFFFFF"/>
              </w:rPr>
              <w:t>Прочность на разрыв поршня и штока поршня</w:t>
            </w:r>
          </w:p>
        </w:tc>
        <w:tc>
          <w:tcPr>
            <w:tcW w:w="421"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 xml:space="preserve">не менее 15 </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sidRPr="002F4DDD">
              <w:rPr>
                <w:rFonts w:ascii="Times New Roman" w:hAnsi="Times New Roman" w:cs="Times New Roman"/>
                <w:color w:val="2C2D2E"/>
                <w:sz w:val="16"/>
                <w:szCs w:val="16"/>
                <w:shd w:val="clear" w:color="auto" w:fill="FFFFFF"/>
              </w:rPr>
              <w:t>H</w:t>
            </w: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nil"/>
              <w:left w:val="nil"/>
              <w:bottom w:val="single" w:sz="8" w:space="0" w:color="auto"/>
              <w:right w:val="single" w:sz="8" w:space="0" w:color="000000"/>
            </w:tcBorders>
            <w:shd w:val="clear" w:color="auto" w:fill="auto"/>
          </w:tcPr>
          <w:p w:rsidR="00FA0D6A" w:rsidRDefault="00FA0D6A" w:rsidP="008048FE">
            <w:pPr>
              <w:contextualSpacing/>
              <w:jc w:val="center"/>
              <w:rPr>
                <w:rFonts w:ascii="Times New Roman" w:hAnsi="Times New Roman" w:cs="Times New Roman"/>
                <w:color w:val="000000"/>
                <w:sz w:val="16"/>
                <w:szCs w:val="16"/>
              </w:rPr>
            </w:pPr>
            <w:r w:rsidRPr="005A35D5">
              <w:rPr>
                <w:rFonts w:ascii="Times New Roman" w:hAnsi="Times New Roman" w:cs="Times New Roman"/>
                <w:color w:val="000000"/>
                <w:sz w:val="16"/>
                <w:szCs w:val="16"/>
              </w:rPr>
              <w:t>Для обеспечения прочности и надежности инструмента</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 xml:space="preserve">Материал маркера </w:t>
            </w:r>
          </w:p>
        </w:tc>
        <w:tc>
          <w:tcPr>
            <w:tcW w:w="421"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суперэластичный нитинол</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универсальной диагностики различными методами</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16617D" w:rsidRDefault="00FA0D6A" w:rsidP="008048FE">
            <w:pPr>
              <w:contextualSpacing/>
              <w:rPr>
                <w:rFonts w:ascii="Times New Roman" w:hAnsi="Times New Roman" w:cs="Times New Roman"/>
                <w:color w:val="2C2D2E"/>
                <w:sz w:val="16"/>
                <w:szCs w:val="16"/>
                <w:highlight w:val="yellow"/>
                <w:shd w:val="clear" w:color="auto" w:fill="FFFFFF"/>
              </w:rPr>
            </w:pPr>
            <w:r w:rsidRPr="002F4DDD">
              <w:rPr>
                <w:rFonts w:ascii="Times New Roman" w:hAnsi="Times New Roman" w:cs="Times New Roman"/>
                <w:color w:val="2C2D2E"/>
                <w:sz w:val="16"/>
                <w:szCs w:val="16"/>
                <w:shd w:val="clear" w:color="auto" w:fill="FFFFFF"/>
              </w:rPr>
              <w:t>Строение маркера - нитиноловые нити, обвивающие по спирали 1 нитиноловый сердечник, с памятью формы</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наличие</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p>
        </w:tc>
        <w:tc>
          <w:tcPr>
            <w:tcW w:w="774" w:type="pct"/>
            <w:tcBorders>
              <w:top w:val="nil"/>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A008D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скручивания маркера в кольцо при установке</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 xml:space="preserve">Содержание гелей или полимеров </w:t>
            </w:r>
          </w:p>
        </w:tc>
        <w:tc>
          <w:tcPr>
            <w:tcW w:w="421"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sidRPr="002F4DDD">
              <w:rPr>
                <w:rFonts w:ascii="Times New Roman" w:hAnsi="Times New Roman" w:cs="Times New Roman"/>
                <w:color w:val="2C2D2E"/>
                <w:sz w:val="16"/>
                <w:szCs w:val="16"/>
                <w:shd w:val="clear" w:color="auto" w:fill="FFFFFF"/>
              </w:rPr>
              <w:t>отсутствие</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A008D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Для снижения количества имплантации посторонних материалов </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2F4DDD"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Диаметр маркера</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 xml:space="preserve">не более 0.7 </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совместимости с канюлей аппликатора и компактного размещения в ней</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D2A35" w:rsidRDefault="00FA0D6A" w:rsidP="008048FE">
            <w:pPr>
              <w:contextualSpacing/>
              <w:rPr>
                <w:rFonts w:ascii="Times New Roman" w:hAnsi="Times New Roman" w:cs="Times New Roman"/>
                <w:color w:val="2C2D2E"/>
                <w:sz w:val="16"/>
                <w:szCs w:val="16"/>
                <w:highlight w:val="yellow"/>
                <w:shd w:val="clear" w:color="auto" w:fill="FFFFFF"/>
              </w:rPr>
            </w:pPr>
            <w:r w:rsidRPr="00AD2A35">
              <w:rPr>
                <w:rFonts w:ascii="Times New Roman" w:hAnsi="Times New Roman" w:cs="Times New Roman"/>
                <w:color w:val="2C2D2E"/>
                <w:sz w:val="16"/>
                <w:szCs w:val="16"/>
                <w:shd w:val="clear" w:color="auto" w:fill="FFFFFF"/>
              </w:rPr>
              <w:t xml:space="preserve">Форма маркера при размещении в тканях </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sidRPr="00AD2A35">
              <w:rPr>
                <w:rFonts w:ascii="Times New Roman" w:hAnsi="Times New Roman" w:cs="Times New Roman"/>
                <w:color w:val="2C2D2E"/>
                <w:sz w:val="16"/>
                <w:szCs w:val="16"/>
                <w:shd w:val="clear" w:color="auto" w:fill="FFFFFF"/>
              </w:rPr>
              <w:t>маркер скручивается в кольцо при установке в тканях</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A008D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локализации маркера вокруг патологических узелков</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C56E6D"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 xml:space="preserve">Внешний диаметр кольца маркера в установленном состоянии </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 xml:space="preserve">не более 4 </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774" w:type="pct"/>
            <w:tcBorders>
              <w:top w:val="single" w:sz="4" w:space="0" w:color="auto"/>
              <w:left w:val="nil"/>
              <w:bottom w:val="single" w:sz="4" w:space="0" w:color="auto"/>
              <w:right w:val="single" w:sz="8" w:space="0" w:color="000000"/>
            </w:tcBorders>
            <w:shd w:val="clear" w:color="auto" w:fill="auto"/>
          </w:tcPr>
          <w:p w:rsidR="00FA0D6A" w:rsidRDefault="00FA0D6A" w:rsidP="008048FE">
            <w:pPr>
              <w:contextualSpacing/>
              <w:jc w:val="center"/>
            </w:pPr>
            <w:r w:rsidRPr="004C3567">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vMerge w:val="restart"/>
            <w:tcBorders>
              <w:top w:val="nil"/>
              <w:left w:val="nil"/>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четкой визуализации маркера после установки в тканях</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D2A35"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 xml:space="preserve">Внутренний диаметр кольца маркера в установленном состоянии </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 xml:space="preserve">не более 2,7 </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мм</w:t>
            </w:r>
          </w:p>
        </w:tc>
        <w:tc>
          <w:tcPr>
            <w:tcW w:w="774" w:type="pct"/>
            <w:tcBorders>
              <w:top w:val="single" w:sz="4" w:space="0" w:color="auto"/>
              <w:left w:val="nil"/>
              <w:bottom w:val="single" w:sz="4" w:space="0" w:color="auto"/>
              <w:right w:val="single" w:sz="8" w:space="0" w:color="000000"/>
            </w:tcBorders>
            <w:shd w:val="clear" w:color="auto" w:fill="auto"/>
          </w:tcPr>
          <w:p w:rsidR="00FA0D6A" w:rsidRDefault="00FA0D6A" w:rsidP="008048FE">
            <w:pPr>
              <w:contextualSpacing/>
              <w:jc w:val="center"/>
            </w:pPr>
            <w:r w:rsidRPr="004C3567">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vMerge/>
            <w:tcBorders>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AD2A35"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 xml:space="preserve">Расположение </w:t>
            </w:r>
            <w:r>
              <w:rPr>
                <w:rFonts w:ascii="Times New Roman" w:hAnsi="Times New Roman" w:cs="Times New Roman"/>
                <w:color w:val="2C2D2E"/>
                <w:sz w:val="16"/>
                <w:szCs w:val="16"/>
                <w:shd w:val="clear" w:color="auto" w:fill="FFFFFF"/>
              </w:rPr>
              <w:t xml:space="preserve">маркера при установке в тканях </w:t>
            </w:r>
          </w:p>
        </w:tc>
        <w:tc>
          <w:tcPr>
            <w:tcW w:w="42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проксимальнее среза иглы</w:t>
            </w:r>
          </w:p>
        </w:tc>
        <w:tc>
          <w:tcPr>
            <w:tcW w:w="181" w:type="pct"/>
            <w:tcBorders>
              <w:top w:val="nil"/>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A008D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простоты установки маркера в тканях</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C56E6D"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Возможность извлечения хирургическим</w:t>
            </w:r>
            <w:r>
              <w:rPr>
                <w:rFonts w:ascii="Arial" w:hAnsi="Arial" w:cs="Arial"/>
                <w:color w:val="2C2D2E"/>
                <w:sz w:val="23"/>
                <w:szCs w:val="23"/>
                <w:shd w:val="clear" w:color="auto" w:fill="FFFFFF"/>
              </w:rPr>
              <w:t xml:space="preserve"> </w:t>
            </w:r>
            <w:r w:rsidRPr="00C56E6D">
              <w:rPr>
                <w:rFonts w:ascii="Times New Roman" w:hAnsi="Times New Roman" w:cs="Times New Roman"/>
                <w:color w:val="2C2D2E"/>
                <w:sz w:val="16"/>
                <w:szCs w:val="16"/>
                <w:shd w:val="clear" w:color="auto" w:fill="FFFFFF"/>
              </w:rPr>
              <w:t>путем</w:t>
            </w:r>
          </w:p>
        </w:tc>
        <w:tc>
          <w:tcPr>
            <w:tcW w:w="421" w:type="pct"/>
            <w:tcBorders>
              <w:top w:val="nil"/>
              <w:left w:val="nil"/>
              <w:bottom w:val="single" w:sz="8" w:space="0" w:color="000000"/>
              <w:right w:val="single" w:sz="8" w:space="0" w:color="000000"/>
            </w:tcBorders>
            <w:shd w:val="clear" w:color="auto" w:fill="auto"/>
            <w:vAlign w:val="center"/>
          </w:tcPr>
          <w:p w:rsidR="00FA0D6A" w:rsidRPr="003C0941"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соответствие</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обеспечения возможности досрочного извлечения маркера при необходимости</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FA0D6A" w:rsidRPr="00C56E6D"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Совместимость с МРТ</w:t>
            </w:r>
          </w:p>
        </w:tc>
        <w:tc>
          <w:tcPr>
            <w:tcW w:w="421" w:type="pct"/>
            <w:tcBorders>
              <w:top w:val="nil"/>
              <w:left w:val="nil"/>
              <w:bottom w:val="single" w:sz="8" w:space="0" w:color="000000"/>
              <w:right w:val="single" w:sz="8" w:space="0" w:color="000000"/>
            </w:tcBorders>
            <w:shd w:val="clear" w:color="auto" w:fill="auto"/>
            <w:vAlign w:val="center"/>
          </w:tcPr>
          <w:p w:rsidR="00FA0D6A" w:rsidRPr="003C0941"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соответствие</w:t>
            </w:r>
          </w:p>
        </w:tc>
        <w:tc>
          <w:tcPr>
            <w:tcW w:w="181"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rPr>
                <w:rFonts w:ascii="Times New Roman" w:hAnsi="Times New Roman" w:cs="Times New Roman"/>
                <w:color w:val="000000"/>
                <w:sz w:val="16"/>
                <w:szCs w:val="16"/>
              </w:rPr>
            </w:pPr>
          </w:p>
        </w:tc>
        <w:tc>
          <w:tcPr>
            <w:tcW w:w="774" w:type="pct"/>
            <w:tcBorders>
              <w:top w:val="nil"/>
              <w:left w:val="nil"/>
              <w:bottom w:val="single" w:sz="8" w:space="0" w:color="000000"/>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C5070E">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Для возможности проведения МРТ-контроля </w:t>
            </w:r>
          </w:p>
        </w:tc>
        <w:tc>
          <w:tcPr>
            <w:tcW w:w="275" w:type="pct"/>
            <w:vMerge/>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vMerge/>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vMerge/>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tcBorders>
              <w:top w:val="single" w:sz="4" w:space="0" w:color="auto"/>
              <w:left w:val="single" w:sz="4" w:space="0" w:color="auto"/>
              <w:bottom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tcBorders>
              <w:top w:val="single" w:sz="4" w:space="0" w:color="auto"/>
              <w:left w:val="single" w:sz="4" w:space="0" w:color="auto"/>
              <w:bottom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nil"/>
              <w:left w:val="nil"/>
              <w:bottom w:val="single" w:sz="4" w:space="0" w:color="auto"/>
              <w:right w:val="single" w:sz="8" w:space="0" w:color="000000"/>
            </w:tcBorders>
            <w:shd w:val="clear" w:color="auto" w:fill="auto"/>
            <w:vAlign w:val="center"/>
          </w:tcPr>
          <w:p w:rsidR="00FA0D6A" w:rsidRPr="00C56E6D"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Параметры для проведения МРТ:</w:t>
            </w:r>
          </w:p>
          <w:p w:rsidR="00FA0D6A" w:rsidRPr="00C56E6D"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 Напряженность статичес</w:t>
            </w:r>
            <w:r>
              <w:rPr>
                <w:rFonts w:ascii="Times New Roman" w:hAnsi="Times New Roman" w:cs="Times New Roman"/>
                <w:color w:val="2C2D2E"/>
                <w:sz w:val="16"/>
                <w:szCs w:val="16"/>
                <w:shd w:val="clear" w:color="auto" w:fill="FFFFFF"/>
              </w:rPr>
              <w:t>кого магнитного поля 1,5 и 3 Тл</w:t>
            </w:r>
          </w:p>
          <w:p w:rsidR="00FA0D6A" w:rsidRPr="00AD2A35" w:rsidRDefault="00FA0D6A" w:rsidP="008048FE">
            <w:pPr>
              <w:contextualSpacing/>
              <w:rPr>
                <w:rFonts w:ascii="Times New Roman" w:hAnsi="Times New Roman" w:cs="Times New Roman"/>
                <w:color w:val="2C2D2E"/>
                <w:sz w:val="16"/>
                <w:szCs w:val="16"/>
                <w:highlight w:val="yellow"/>
                <w:shd w:val="clear" w:color="auto" w:fill="FFFFFF"/>
              </w:rPr>
            </w:pPr>
            <w:r w:rsidRPr="00C56E6D">
              <w:rPr>
                <w:rFonts w:ascii="Times New Roman" w:hAnsi="Times New Roman" w:cs="Times New Roman"/>
                <w:color w:val="2C2D2E"/>
                <w:sz w:val="16"/>
                <w:szCs w:val="16"/>
                <w:shd w:val="clear" w:color="auto" w:fill="FFFFFF"/>
              </w:rPr>
              <w:t>• Максимальный градиент магнитного поля - не более 4000 Гаусс/см (40 Tл/м)</w:t>
            </w:r>
          </w:p>
        </w:tc>
        <w:tc>
          <w:tcPr>
            <w:tcW w:w="421" w:type="pct"/>
            <w:tcBorders>
              <w:top w:val="nil"/>
              <w:left w:val="nil"/>
              <w:bottom w:val="nil"/>
              <w:right w:val="single" w:sz="8" w:space="0" w:color="000000"/>
            </w:tcBorders>
            <w:shd w:val="clear" w:color="auto" w:fill="auto"/>
          </w:tcPr>
          <w:p w:rsidR="00FA0D6A" w:rsidRPr="00450740" w:rsidRDefault="00FA0D6A" w:rsidP="008048FE">
            <w:pPr>
              <w:contextualSpacing/>
              <w:rPr>
                <w:rFonts w:ascii="Times New Roman" w:hAnsi="Times New Roman" w:cs="Times New Roman"/>
                <w:sz w:val="16"/>
                <w:szCs w:val="16"/>
              </w:rPr>
            </w:pPr>
            <w:r w:rsidRPr="00450740">
              <w:rPr>
                <w:rFonts w:ascii="Times New Roman" w:hAnsi="Times New Roman" w:cs="Times New Roman"/>
                <w:sz w:val="16"/>
                <w:szCs w:val="16"/>
              </w:rPr>
              <w:t>соответствие</w:t>
            </w:r>
          </w:p>
        </w:tc>
        <w:tc>
          <w:tcPr>
            <w:tcW w:w="181" w:type="pct"/>
            <w:tcBorders>
              <w:top w:val="nil"/>
              <w:left w:val="nil"/>
              <w:bottom w:val="nil"/>
              <w:right w:val="single" w:sz="8" w:space="0" w:color="000000"/>
            </w:tcBorders>
            <w:shd w:val="clear" w:color="auto" w:fill="auto"/>
          </w:tcPr>
          <w:p w:rsidR="00FA0D6A" w:rsidRPr="00450740" w:rsidRDefault="00FA0D6A" w:rsidP="008048FE">
            <w:pPr>
              <w:contextualSpacing/>
              <w:rPr>
                <w:rFonts w:ascii="Times New Roman" w:hAnsi="Times New Roman" w:cs="Times New Roman"/>
                <w:sz w:val="16"/>
                <w:szCs w:val="16"/>
              </w:rPr>
            </w:pPr>
          </w:p>
        </w:tc>
        <w:tc>
          <w:tcPr>
            <w:tcW w:w="774" w:type="pct"/>
            <w:tcBorders>
              <w:top w:val="single" w:sz="4" w:space="0" w:color="auto"/>
              <w:left w:val="nil"/>
              <w:bottom w:val="single" w:sz="4" w:space="0" w:color="auto"/>
              <w:right w:val="single" w:sz="8" w:space="0" w:color="000000"/>
            </w:tcBorders>
            <w:shd w:val="clear" w:color="auto" w:fill="auto"/>
          </w:tcPr>
          <w:p w:rsidR="00FA0D6A" w:rsidRPr="00450740" w:rsidRDefault="00FA0D6A" w:rsidP="008048FE">
            <w:pPr>
              <w:contextualSpacing/>
              <w:jc w:val="center"/>
              <w:rPr>
                <w:rFonts w:ascii="Times New Roman" w:hAnsi="Times New Roman" w:cs="Times New Roman"/>
                <w:sz w:val="16"/>
                <w:szCs w:val="16"/>
              </w:rPr>
            </w:pPr>
            <w:r w:rsidRPr="00450740">
              <w:rPr>
                <w:rFonts w:ascii="Times New Roman" w:hAnsi="Times New Roman" w:cs="Times New Roman"/>
                <w:sz w:val="16"/>
                <w:szCs w:val="16"/>
              </w:rPr>
              <w:t>Значение характеристики не может изменяться участником закупки</w:t>
            </w:r>
          </w:p>
        </w:tc>
        <w:tc>
          <w:tcPr>
            <w:tcW w:w="643" w:type="pct"/>
            <w:vMerge w:val="restart"/>
            <w:tcBorders>
              <w:top w:val="nil"/>
              <w:left w:val="nil"/>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Для обеспечения совместимости с комплексами МРТ-диагностики и </w:t>
            </w:r>
            <w:r w:rsidRPr="005A35D5">
              <w:rPr>
                <w:rFonts w:ascii="Times New Roman" w:hAnsi="Times New Roman" w:cs="Times New Roman"/>
                <w:color w:val="000000"/>
                <w:sz w:val="16"/>
                <w:szCs w:val="16"/>
              </w:rPr>
              <w:t>обеспечения визуализации иглы под МРТ-контролем</w:t>
            </w:r>
          </w:p>
        </w:tc>
        <w:tc>
          <w:tcPr>
            <w:tcW w:w="275" w:type="pct"/>
            <w:tcBorders>
              <w:top w:val="single" w:sz="4" w:space="0" w:color="auto"/>
              <w:left w:val="single" w:sz="4" w:space="0" w:color="auto"/>
              <w:bottom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tcBorders>
              <w:top w:val="single" w:sz="4" w:space="0" w:color="auto"/>
              <w:left w:val="single" w:sz="4" w:space="0" w:color="auto"/>
              <w:bottom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tcBorders>
              <w:top w:val="single" w:sz="4" w:space="0" w:color="auto"/>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tcBorders>
              <w:top w:val="single" w:sz="4" w:space="0" w:color="auto"/>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tcBorders>
              <w:top w:val="single" w:sz="4" w:space="0" w:color="auto"/>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tcBorders>
              <w:top w:val="single" w:sz="4" w:space="0" w:color="auto"/>
              <w:left w:val="single" w:sz="4" w:space="0" w:color="auto"/>
              <w:bottom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tcBorders>
              <w:top w:val="single" w:sz="4" w:space="0" w:color="auto"/>
              <w:left w:val="single" w:sz="4" w:space="0" w:color="auto"/>
              <w:bottom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single" w:sz="4" w:space="0" w:color="auto"/>
              <w:left w:val="nil"/>
              <w:bottom w:val="single" w:sz="4" w:space="0" w:color="auto"/>
              <w:right w:val="single" w:sz="8" w:space="0" w:color="000000"/>
            </w:tcBorders>
            <w:shd w:val="clear" w:color="auto" w:fill="auto"/>
            <w:vAlign w:val="center"/>
          </w:tcPr>
          <w:p w:rsidR="00FA0D6A" w:rsidRPr="00C56E6D"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 xml:space="preserve">Максимальный рост  локальной температуры после 15-мин МРТ сканирования </w:t>
            </w:r>
          </w:p>
        </w:tc>
        <w:tc>
          <w:tcPr>
            <w:tcW w:w="421" w:type="pct"/>
            <w:tcBorders>
              <w:top w:val="single" w:sz="4" w:space="0" w:color="auto"/>
              <w:left w:val="nil"/>
              <w:bottom w:val="single" w:sz="4" w:space="0" w:color="auto"/>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не более 2-</w:t>
            </w:r>
            <w:r w:rsidRPr="00C56E6D">
              <w:rPr>
                <w:rFonts w:ascii="Times New Roman" w:hAnsi="Times New Roman" w:cs="Times New Roman"/>
                <w:color w:val="2C2D2E"/>
                <w:sz w:val="16"/>
                <w:szCs w:val="16"/>
                <w:shd w:val="clear" w:color="auto" w:fill="FFFFFF"/>
              </w:rPr>
              <w:t xml:space="preserve">3 градусов </w:t>
            </w:r>
          </w:p>
        </w:tc>
        <w:tc>
          <w:tcPr>
            <w:tcW w:w="181" w:type="pct"/>
            <w:tcBorders>
              <w:top w:val="single" w:sz="4" w:space="0" w:color="auto"/>
              <w:left w:val="nil"/>
              <w:bottom w:val="single" w:sz="4" w:space="0" w:color="auto"/>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2C2D2E"/>
                <w:sz w:val="16"/>
                <w:szCs w:val="16"/>
                <w:shd w:val="clear" w:color="auto" w:fill="FFFFFF"/>
              </w:rPr>
              <w:t>Ц</w:t>
            </w:r>
            <w:r w:rsidRPr="00C56E6D">
              <w:rPr>
                <w:rFonts w:ascii="Times New Roman" w:hAnsi="Times New Roman" w:cs="Times New Roman"/>
                <w:color w:val="2C2D2E"/>
                <w:sz w:val="16"/>
                <w:szCs w:val="16"/>
                <w:shd w:val="clear" w:color="auto" w:fill="FFFFFF"/>
              </w:rPr>
              <w:t>ельсия</w:t>
            </w:r>
          </w:p>
        </w:tc>
        <w:tc>
          <w:tcPr>
            <w:tcW w:w="774" w:type="pct"/>
            <w:tcBorders>
              <w:top w:val="single" w:sz="4" w:space="0" w:color="auto"/>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sidRPr="004C3567">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vMerge/>
            <w:tcBorders>
              <w:left w:val="nil"/>
              <w:bottom w:val="single" w:sz="4"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p>
        </w:tc>
        <w:tc>
          <w:tcPr>
            <w:tcW w:w="275" w:type="pct"/>
            <w:tcBorders>
              <w:top w:val="single" w:sz="4" w:space="0" w:color="auto"/>
              <w:left w:val="single" w:sz="4" w:space="0" w:color="auto"/>
              <w:bottom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tcBorders>
              <w:top w:val="single" w:sz="4" w:space="0" w:color="auto"/>
              <w:left w:val="single" w:sz="4" w:space="0" w:color="auto"/>
              <w:bottom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tcBorders>
              <w:top w:val="single" w:sz="4" w:space="0" w:color="auto"/>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tcBorders>
              <w:top w:val="single" w:sz="4" w:space="0" w:color="auto"/>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tcBorders>
              <w:top w:val="single" w:sz="4" w:space="0" w:color="auto"/>
              <w:left w:val="single" w:sz="4" w:space="0" w:color="auto"/>
              <w:bottom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r w:rsidR="00FA0D6A" w:rsidRPr="00155D15" w:rsidTr="008048FE">
        <w:trPr>
          <w:trHeight w:val="499"/>
        </w:trPr>
        <w:tc>
          <w:tcPr>
            <w:tcW w:w="487" w:type="pct"/>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hAnsi="Times New Roman" w:cs="Times New Roman"/>
                <w:sz w:val="16"/>
                <w:szCs w:val="16"/>
                <w:shd w:val="clear" w:color="auto" w:fill="FFFFFF"/>
              </w:rPr>
            </w:pPr>
          </w:p>
        </w:tc>
        <w:tc>
          <w:tcPr>
            <w:tcW w:w="362" w:type="pct"/>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sz w:val="16"/>
                <w:szCs w:val="16"/>
                <w:lang w:eastAsia="ru-RU"/>
              </w:rPr>
            </w:pPr>
          </w:p>
        </w:tc>
        <w:tc>
          <w:tcPr>
            <w:tcW w:w="710" w:type="pct"/>
            <w:tcBorders>
              <w:top w:val="single" w:sz="4" w:space="0" w:color="auto"/>
              <w:left w:val="nil"/>
              <w:bottom w:val="single" w:sz="8" w:space="0" w:color="000000"/>
              <w:right w:val="single" w:sz="8" w:space="0" w:color="000000"/>
            </w:tcBorders>
            <w:shd w:val="clear" w:color="auto" w:fill="auto"/>
            <w:vAlign w:val="center"/>
          </w:tcPr>
          <w:p w:rsidR="00FA0D6A" w:rsidRPr="00C56E6D" w:rsidRDefault="00FA0D6A" w:rsidP="008048FE">
            <w:pPr>
              <w:contextualSpacing/>
              <w:rPr>
                <w:rFonts w:ascii="Times New Roman" w:hAnsi="Times New Roman" w:cs="Times New Roman"/>
                <w:color w:val="2C2D2E"/>
                <w:sz w:val="16"/>
                <w:szCs w:val="16"/>
                <w:shd w:val="clear" w:color="auto" w:fill="FFFFFF"/>
              </w:rPr>
            </w:pPr>
            <w:r w:rsidRPr="00C56E6D">
              <w:rPr>
                <w:rFonts w:ascii="Times New Roman" w:hAnsi="Times New Roman" w:cs="Times New Roman"/>
                <w:color w:val="2C2D2E"/>
                <w:sz w:val="16"/>
                <w:szCs w:val="16"/>
                <w:shd w:val="clear" w:color="auto" w:fill="FFFFFF"/>
              </w:rPr>
              <w:t xml:space="preserve">Общий срок стерильности изделия </w:t>
            </w:r>
          </w:p>
        </w:tc>
        <w:tc>
          <w:tcPr>
            <w:tcW w:w="421" w:type="pct"/>
            <w:tcBorders>
              <w:top w:val="single" w:sz="4" w:space="0" w:color="auto"/>
              <w:left w:val="nil"/>
              <w:bottom w:val="single" w:sz="8" w:space="0" w:color="000000"/>
              <w:right w:val="single" w:sz="8" w:space="0" w:color="000000"/>
            </w:tcBorders>
            <w:shd w:val="clear" w:color="auto" w:fill="auto"/>
            <w:vAlign w:val="center"/>
          </w:tcPr>
          <w:p w:rsidR="00FA0D6A" w:rsidRDefault="00FA0D6A" w:rsidP="008048FE">
            <w:pPr>
              <w:contextualSpacing/>
              <w:rPr>
                <w:rFonts w:ascii="Times New Roman" w:hAnsi="Times New Roman" w:cs="Times New Roman"/>
                <w:color w:val="2C2D2E"/>
                <w:sz w:val="16"/>
                <w:szCs w:val="16"/>
                <w:shd w:val="clear" w:color="auto" w:fill="FFFFFF"/>
              </w:rPr>
            </w:pPr>
            <w:r>
              <w:rPr>
                <w:rFonts w:ascii="Times New Roman" w:hAnsi="Times New Roman" w:cs="Times New Roman"/>
                <w:color w:val="2C2D2E"/>
                <w:sz w:val="16"/>
                <w:szCs w:val="16"/>
                <w:shd w:val="clear" w:color="auto" w:fill="FFFFFF"/>
              </w:rPr>
              <w:t xml:space="preserve">не менее 3 </w:t>
            </w:r>
          </w:p>
        </w:tc>
        <w:tc>
          <w:tcPr>
            <w:tcW w:w="181" w:type="pct"/>
            <w:tcBorders>
              <w:top w:val="single" w:sz="4" w:space="0" w:color="auto"/>
              <w:left w:val="nil"/>
              <w:bottom w:val="single" w:sz="8" w:space="0" w:color="000000"/>
              <w:right w:val="single" w:sz="8" w:space="0" w:color="000000"/>
            </w:tcBorders>
            <w:shd w:val="clear" w:color="auto" w:fill="auto"/>
            <w:vAlign w:val="center"/>
          </w:tcPr>
          <w:p w:rsidR="00FA0D6A"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лет</w:t>
            </w:r>
          </w:p>
        </w:tc>
        <w:tc>
          <w:tcPr>
            <w:tcW w:w="774" w:type="pct"/>
            <w:tcBorders>
              <w:top w:val="single" w:sz="4" w:space="0" w:color="auto"/>
              <w:left w:val="nil"/>
              <w:bottom w:val="single" w:sz="4" w:space="0" w:color="auto"/>
              <w:right w:val="single" w:sz="8" w:space="0" w:color="000000"/>
            </w:tcBorders>
            <w:shd w:val="clear" w:color="auto" w:fill="auto"/>
          </w:tcPr>
          <w:p w:rsidR="00FA0D6A" w:rsidRDefault="00FA0D6A" w:rsidP="008048FE">
            <w:pPr>
              <w:contextualSpacing/>
              <w:jc w:val="center"/>
            </w:pPr>
            <w:r w:rsidRPr="00DF38F6">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single" w:sz="4" w:space="0" w:color="auto"/>
              <w:left w:val="nil"/>
              <w:bottom w:val="single" w:sz="8" w:space="0" w:color="auto"/>
              <w:right w:val="single" w:sz="8" w:space="0" w:color="000000"/>
            </w:tcBorders>
            <w:shd w:val="clear" w:color="auto" w:fill="auto"/>
            <w:vAlign w:val="center"/>
          </w:tcPr>
          <w:p w:rsidR="00FA0D6A" w:rsidRPr="00C5070E" w:rsidRDefault="00FA0D6A" w:rsidP="008048FE">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Для возможности хранения в течение продолжительного времени</w:t>
            </w:r>
          </w:p>
        </w:tc>
        <w:tc>
          <w:tcPr>
            <w:tcW w:w="275" w:type="pct"/>
            <w:tcBorders>
              <w:top w:val="single" w:sz="4" w:space="0" w:color="auto"/>
              <w:left w:val="single" w:sz="4" w:space="0" w:color="auto"/>
              <w:right w:val="single" w:sz="4" w:space="0" w:color="auto"/>
            </w:tcBorders>
            <w:vAlign w:val="center"/>
          </w:tcPr>
          <w:p w:rsidR="00FA0D6A"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29" w:type="pct"/>
            <w:tcBorders>
              <w:top w:val="single" w:sz="4" w:space="0" w:color="auto"/>
              <w:left w:val="single" w:sz="4" w:space="0" w:color="auto"/>
              <w:right w:val="single" w:sz="4" w:space="0" w:color="auto"/>
            </w:tcBorders>
            <w:vAlign w:val="center"/>
          </w:tcPr>
          <w:p w:rsidR="00FA0D6A" w:rsidRPr="004D6A3F" w:rsidRDefault="00FA0D6A" w:rsidP="008048FE">
            <w:pPr>
              <w:spacing w:after="0" w:line="240" w:lineRule="auto"/>
              <w:contextualSpacing/>
              <w:jc w:val="center"/>
              <w:rPr>
                <w:rFonts w:ascii="Times New Roman" w:eastAsia="Times New Roman" w:hAnsi="Times New Roman" w:cs="Times New Roman"/>
                <w:color w:val="000000"/>
                <w:sz w:val="16"/>
                <w:szCs w:val="16"/>
                <w:lang w:eastAsia="ru-RU"/>
              </w:rPr>
            </w:pPr>
          </w:p>
        </w:tc>
        <w:tc>
          <w:tcPr>
            <w:tcW w:w="276" w:type="pct"/>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185" w:type="pct"/>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9" w:type="pct"/>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c>
          <w:tcPr>
            <w:tcW w:w="228" w:type="pct"/>
            <w:tcBorders>
              <w:top w:val="single" w:sz="4" w:space="0" w:color="auto"/>
              <w:left w:val="single" w:sz="4" w:space="0" w:color="auto"/>
              <w:right w:val="single" w:sz="4" w:space="0" w:color="auto"/>
            </w:tcBorders>
          </w:tcPr>
          <w:p w:rsidR="00FA0D6A" w:rsidRPr="00155D15" w:rsidRDefault="00FA0D6A" w:rsidP="008048FE">
            <w:pPr>
              <w:spacing w:after="0" w:line="240" w:lineRule="auto"/>
              <w:contextualSpacing/>
              <w:jc w:val="right"/>
              <w:rPr>
                <w:rFonts w:ascii="Times New Roman" w:eastAsia="Times New Roman" w:hAnsi="Times New Roman" w:cs="Times New Roman"/>
                <w:color w:val="000000"/>
                <w:sz w:val="18"/>
                <w:szCs w:val="18"/>
                <w:lang w:eastAsia="ru-RU"/>
              </w:rPr>
            </w:pPr>
          </w:p>
        </w:tc>
      </w:tr>
    </w:tbl>
    <w:p w:rsidR="00FA0D6A" w:rsidRDefault="00FA0D6A" w:rsidP="00FA0D6A">
      <w:pPr>
        <w:autoSpaceDE w:val="0"/>
        <w:autoSpaceDN w:val="0"/>
        <w:adjustRightInd w:val="0"/>
        <w:rPr>
          <w:rFonts w:ascii="Times New Roman CYR" w:hAnsi="Times New Roman CYR" w:cs="Times New Roman CYR"/>
          <w:b/>
          <w:bCs/>
        </w:rPr>
      </w:pPr>
    </w:p>
    <w:p w:rsidR="00FA0D6A" w:rsidRPr="001C6353" w:rsidRDefault="00FA0D6A" w:rsidP="00FA0D6A">
      <w:pPr>
        <w:autoSpaceDE w:val="0"/>
        <w:autoSpaceDN w:val="0"/>
        <w:adjustRightInd w:val="0"/>
        <w:rPr>
          <w:rFonts w:ascii="Times New Roman" w:hAnsi="Times New Roman" w:cs="Times New Roman"/>
          <w:b/>
          <w:bCs/>
        </w:rPr>
      </w:pPr>
      <w:r w:rsidRPr="00607BE1">
        <w:rPr>
          <w:rFonts w:ascii="Times New Roman CYR" w:hAnsi="Times New Roman CYR" w:cs="Times New Roman CYR"/>
          <w:b/>
          <w:bCs/>
        </w:rPr>
        <w:t>*</w:t>
      </w:r>
      <w:r>
        <w:rPr>
          <w:rFonts w:ascii="Times New Roman CYR" w:hAnsi="Times New Roman CYR" w:cs="Times New Roman CYR"/>
          <w:b/>
          <w:bCs/>
        </w:rPr>
        <w:t>*</w:t>
      </w:r>
      <w:r w:rsidRPr="00607BE1">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607BE1">
        <w:rPr>
          <w:rFonts w:ascii="Times New Roman CYR" w:hAnsi="Times New Roman CYR" w:cs="Times New Roman CYR"/>
          <w:b/>
          <w:bCs/>
        </w:rPr>
        <w:t xml:space="preserve"> </w:t>
      </w:r>
      <w:r w:rsidRPr="00607BE1">
        <w:rPr>
          <w:rFonts w:ascii="Roboto" w:hAnsi="Roboto" w:cs="Roboto"/>
          <w:color w:val="333333"/>
        </w:rPr>
        <w:t>(</w:t>
      </w:r>
      <w:hyperlink r:id="rId18" w:history="1">
        <w:r w:rsidRPr="00607BE1">
          <w:rPr>
            <w:rFonts w:ascii="Calibri" w:hAnsi="Calibri" w:cs="Calibri"/>
            <w:color w:val="0064E0"/>
            <w:u w:val="single"/>
          </w:rPr>
          <w:t>письмо</w:t>
        </w:r>
      </w:hyperlink>
      <w:r w:rsidRPr="00607BE1">
        <w:rPr>
          <w:rFonts w:ascii="Roboto" w:hAnsi="Roboto" w:cs="Roboto"/>
          <w:color w:val="333333"/>
          <w:lang w:val="en-US"/>
        </w:rPr>
        <w:t> </w:t>
      </w:r>
      <w:r w:rsidRPr="00607BE1">
        <w:rPr>
          <w:rFonts w:ascii="Calibri" w:hAnsi="Calibri" w:cs="Calibri"/>
          <w:color w:val="333333"/>
        </w:rPr>
        <w:t>Минфина</w:t>
      </w:r>
      <w:r w:rsidRPr="00607BE1">
        <w:rPr>
          <w:rFonts w:ascii="Roboto" w:hAnsi="Roboto" w:cs="Roboto"/>
          <w:color w:val="333333"/>
        </w:rPr>
        <w:t xml:space="preserve"> </w:t>
      </w:r>
      <w:r w:rsidRPr="00607BE1">
        <w:rPr>
          <w:rFonts w:ascii="Calibri" w:hAnsi="Calibri" w:cs="Calibri"/>
          <w:color w:val="333333"/>
        </w:rPr>
        <w:t>России</w:t>
      </w:r>
      <w:r w:rsidRPr="00607BE1">
        <w:rPr>
          <w:rFonts w:ascii="Roboto" w:hAnsi="Roboto" w:cs="Roboto"/>
          <w:color w:val="333333"/>
        </w:rPr>
        <w:t xml:space="preserve"> </w:t>
      </w:r>
      <w:r w:rsidRPr="00607BE1">
        <w:rPr>
          <w:rFonts w:ascii="Calibri" w:hAnsi="Calibri" w:cs="Calibri"/>
          <w:color w:val="333333"/>
        </w:rPr>
        <w:t>от</w:t>
      </w:r>
      <w:r w:rsidRPr="00607BE1">
        <w:rPr>
          <w:rFonts w:ascii="Roboto" w:hAnsi="Roboto" w:cs="Roboto"/>
          <w:color w:val="333333"/>
        </w:rPr>
        <w:t xml:space="preserve"> 24 </w:t>
      </w:r>
      <w:r w:rsidRPr="00607BE1">
        <w:rPr>
          <w:rFonts w:ascii="Calibri" w:hAnsi="Calibri" w:cs="Calibri"/>
          <w:color w:val="333333"/>
        </w:rPr>
        <w:t>января</w:t>
      </w:r>
      <w:r w:rsidRPr="00607BE1">
        <w:rPr>
          <w:rFonts w:ascii="Roboto" w:hAnsi="Roboto" w:cs="Roboto"/>
          <w:color w:val="333333"/>
        </w:rPr>
        <w:t xml:space="preserve"> 2022 </w:t>
      </w:r>
      <w:r w:rsidRPr="00607BE1">
        <w:rPr>
          <w:rFonts w:ascii="Calibri" w:hAnsi="Calibri" w:cs="Calibri"/>
          <w:color w:val="333333"/>
        </w:rPr>
        <w:t>г</w:t>
      </w:r>
      <w:r w:rsidRPr="00607BE1">
        <w:rPr>
          <w:rFonts w:ascii="Roboto" w:hAnsi="Roboto" w:cs="Roboto"/>
          <w:color w:val="333333"/>
        </w:rPr>
        <w:t xml:space="preserve">. </w:t>
      </w:r>
      <w:r w:rsidRPr="00607BE1">
        <w:rPr>
          <w:rFonts w:ascii="Roboto" w:hAnsi="Roboto" w:cs="Roboto"/>
          <w:color w:val="333333"/>
          <w:lang w:val="en-US"/>
        </w:rPr>
        <w:t>N</w:t>
      </w:r>
      <w:r w:rsidRPr="00607BE1">
        <w:rPr>
          <w:rFonts w:ascii="Roboto" w:hAnsi="Roboto" w:cs="Roboto"/>
          <w:color w:val="333333"/>
        </w:rPr>
        <w:t xml:space="preserve"> 24-03-08/4090)</w:t>
      </w:r>
    </w:p>
    <w:p w:rsidR="00FA0D6A" w:rsidRDefault="00FA0D6A" w:rsidP="00FA0D6A">
      <w:pPr>
        <w:rPr>
          <w:rFonts w:ascii="Times New Roman" w:hAnsi="Times New Roman" w:cs="Times New Roman"/>
          <w:b/>
          <w:sz w:val="28"/>
          <w:szCs w:val="28"/>
        </w:rPr>
      </w:pPr>
    </w:p>
    <w:p w:rsidR="00FA0D6A" w:rsidRDefault="00FA0D6A" w:rsidP="00FA0D6A">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FA0D6A">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BA5" w:rsidRDefault="00086BA5">
      <w:pPr>
        <w:spacing w:after="0" w:line="240" w:lineRule="auto"/>
      </w:pPr>
      <w:r>
        <w:separator/>
      </w:r>
    </w:p>
  </w:endnote>
  <w:endnote w:type="continuationSeparator" w:id="0">
    <w:p w:rsidR="00086BA5" w:rsidRDefault="0008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003" w:rsidRDefault="00D6600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6600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6600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6600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6600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6600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A0D6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BA5" w:rsidRDefault="00086BA5">
      <w:pPr>
        <w:spacing w:after="0" w:line="240" w:lineRule="auto"/>
      </w:pPr>
      <w:r>
        <w:separator/>
      </w:r>
    </w:p>
  </w:footnote>
  <w:footnote w:type="continuationSeparator" w:id="0">
    <w:p w:rsidR="00086BA5" w:rsidRDefault="00086BA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003" w:rsidRDefault="00D6600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003" w:rsidRDefault="00D6600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66003" w:rsidRDefault="00D6600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6BA5"/>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6003"/>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0D6A"/>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FE92-C5A3-4059-BFCC-ADF6DBB2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2033</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