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R="00E768F9" w:rsidRDefault="007837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7AF3DDB2" wp14:editId="788CF796">
            <wp:extent cx="5939790" cy="889000"/>
            <wp:effectExtent l="0" t="0" r="3810" b="6350"/>
            <wp:docPr id="3" name="Рисунок 3" descr="\\bdcserver.niioncologii.local\Reglament\INFORMATION SERVICE\Дизайнер\шаблоны\бланк общий.png"/>
            <wp:cNvGraphicFramePr/>
            <a:graphic xmlns:a="http://schemas.openxmlformats.org/drawingml/2006/main">
              <a:graphicData uri="http://schemas.openxmlformats.org/drawingml/2006/picture">
                <pic:pic xmlns:pic="http://schemas.openxmlformats.org/drawingml/2006/picture">
                  <pic:nvPicPr>
                    <pic:cNvPr id="3" name="Рисунок 3" descr="\\bdcserver.niioncologii.local\Reglament\INFORMATION SERVICE\Дизайнер\шаблоны\бланк общий.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889000"/>
                    </a:xfrm>
                    <a:prstGeom prst="rect">
                      <a:avLst/>
                    </a:prstGeom>
                    <a:noFill/>
                    <a:ln>
                      <a:noFill/>
                    </a:ln>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28.11.2023 № 05-07/1554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80DD0">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637F5D">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04.12.2023</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637F5D">
            <w:pPr>
              <w:spacing w:after="0"/>
              <w:rPr>
                <w:rFonts w:ascii="Times New Roman" w:hAnsi="Times New Roman" w:cs="Times New Roman"/>
                <w:sz w:val="24"/>
                <w:szCs w:val="24"/>
              </w:rPr>
            </w:pP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637F5D">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9D408E">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в формате “sig”)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637F5D">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637F5D">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80633">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A2F66" w:rsidRDefault="00DC11FC" w:rsidP="00DC11FC">
            <w:pPr>
              <w:tabs>
                <w:tab w:val="left" w:pos="284"/>
              </w:tabs>
              <w:ind w:left="-1"/>
              <w:rPr>
                <w:rFonts w:ascii="Times New Roman" w:hAnsi="Times New Roman" w:cs="Times New Roman"/>
                <w:sz w:val="20"/>
                <w:szCs w:val="20"/>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DC11FC" w:rsidRDefault="00DC11FC" w:rsidP="00180633">
            <w:pPr>
              <w:pStyle w:val="a7"/>
              <w:spacing w:after="0" w:line="240" w:lineRule="auto"/>
              <w:ind w:left="0" w:firstLine="567"/>
              <w:jc w:val="both"/>
              <w:rPr>
                <w:rFonts w:ascii="Times New Roman" w:hAnsi="Times New Roman" w:cs="Times New Roman"/>
              </w:rPr>
            </w:pPr>
          </w:p>
          <w:p w:rsidR="00DC11FC" w:rsidRDefault="00DC11FC" w:rsidP="00180633">
            <w:pPr>
              <w:pStyle w:val="a7"/>
              <w:spacing w:after="0" w:line="240" w:lineRule="auto"/>
              <w:ind w:left="0" w:firstLine="567"/>
              <w:jc w:val="both"/>
              <w:rPr>
                <w:rFonts w:ascii="Times New Roman" w:hAnsi="Times New Roman" w:cs="Times New Roman"/>
              </w:rPr>
            </w:pPr>
          </w:p>
          <w:p w:rsidR="00DC11FC" w:rsidRPr="00DC11FC" w:rsidRDefault="00DC11FC" w:rsidP="00180633">
            <w:pPr>
              <w:pStyle w:val="a7"/>
              <w:spacing w:after="0" w:line="240" w:lineRule="auto"/>
              <w:ind w:left="0" w:firstLine="567"/>
              <w:jc w:val="both"/>
              <w:rPr>
                <w:rFonts w:ascii="Times New Roman" w:hAnsi="Times New Roman" w:cs="Times New Roman"/>
              </w:rPr>
            </w:pPr>
          </w:p>
          <w:p w:rsidR="00792FF6" w:rsidRPr="00792FF6" w:rsidRDefault="00792FF6" w:rsidP="00792FF6">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F002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490"/>
        <w:gridCol w:w="6006"/>
        <w:gridCol w:w="8891"/>
      </w:tblGrid>
      <w:tr w:rsidR="00EE6B83" w:rsidRPr="00E961F8" w:rsidTr="00B32574">
        <w:tc>
          <w:tcPr>
            <w:tcW w:w="0" w:type="auto"/>
            <w:tcBorders>
              <w:top w:val="single" w:sz="4" w:space="0" w:color="auto"/>
            </w:tcBorders>
          </w:tcPr>
          <w:p w:rsidR="00EE6B83" w:rsidRDefault="00EE6B83" w:rsidP="0089339B">
            <w:pPr>
              <w:tabs>
                <w:tab w:val="left" w:pos="284"/>
              </w:tabs>
              <w:rPr>
                <w:rFonts w:ascii="Times New Roman" w:hAnsi="Times New Roman" w:cs="Times New Roman"/>
              </w:rPr>
            </w:pPr>
            <w:r>
              <w:rPr>
                <w:rFonts w:ascii="Times New Roman" w:hAnsi="Times New Roman" w:cs="Times New Roman"/>
              </w:rPr>
              <w:lastRenderedPageBreak/>
              <w:t>1.</w:t>
            </w:r>
          </w:p>
        </w:tc>
        <w:tc>
          <w:tcPr>
            <w:tcW w:w="0" w:type="auto"/>
            <w:tcBorders>
              <w:top w:val="single" w:sz="4" w:space="0" w:color="auto"/>
            </w:tcBorders>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Заказчика</w:t>
            </w:r>
          </w:p>
        </w:tc>
        <w:tc>
          <w:tcPr>
            <w:tcW w:w="0" w:type="auto"/>
            <w:tcBorders>
              <w:top w:val="single" w:sz="4" w:space="0" w:color="auto"/>
            </w:tcBorders>
          </w:tcPr>
          <w:p w:rsidR="00EE6B83" w:rsidRDefault="00F73B84" w:rsidP="003C02B9">
            <w:pPr>
              <w:ind w:right="-1"/>
              <w:rPr>
                <w:rFonts w:ascii="Times New Roman" w:hAnsi="Times New Roman" w:cs="Times New Roman"/>
              </w:rPr>
            </w:pPr>
            <w:r w:rsidRPr="00F73B84">
              <w:rPr>
                <w:rFonts w:ascii="Times New Roman" w:hAnsi="Times New Roman" w:cs="Times New Roman"/>
                <w:sz w:val="24"/>
                <w:szCs w:val="24"/>
              </w:rPr>
              <w:fldChar w:fldCharType="begin">
                <w:ffData>
                  <w:name w:val="Организация"/>
                  <w:enabled/>
                  <w:calcOnExit w:val="0"/>
                  <w:textInput>
                    <w:default w:val="Организация"/>
                  </w:textInput>
                </w:ffData>
              </w:fldChar>
            </w:r>
            <w:bookmarkStart w:id="4" w:name="Организация"/>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ФГБУ "НМИЦ онкологии им. Н.Н. Петрова" Минздрава России</w:t>
            </w:r>
            <w:r w:rsidRPr="00F73B84">
              <w:rPr>
                <w:rFonts w:ascii="Times New Roman" w:hAnsi="Times New Roman" w:cs="Times New Roman"/>
                <w:sz w:val="24"/>
                <w:szCs w:val="24"/>
              </w:rPr>
              <w:fldChar w:fldCharType="end"/>
            </w:r>
            <w:bookmarkEnd w:id="4"/>
          </w:p>
        </w:tc>
      </w:tr>
      <w:tr w:rsidR="00EE6B83" w:rsidRPr="00E961F8" w:rsidTr="00B32574">
        <w:tc>
          <w:tcPr>
            <w:tcW w:w="0" w:type="auto"/>
          </w:tcPr>
          <w:p w:rsidR="00EE6B83" w:rsidRDefault="00EE6B83" w:rsidP="006D3E20">
            <w:pPr>
              <w:ind w:right="-1"/>
              <w:rPr>
                <w:rFonts w:ascii="Times New Roman" w:hAnsi="Times New Roman" w:cs="Times New Roman"/>
              </w:rPr>
            </w:pPr>
            <w:r>
              <w:rPr>
                <w:rFonts w:ascii="Times New Roman" w:hAnsi="Times New Roman" w:cs="Times New Roman"/>
              </w:rPr>
              <w:t>2.</w:t>
            </w:r>
          </w:p>
        </w:tc>
        <w:tc>
          <w:tcPr>
            <w:tcW w:w="0" w:type="auto"/>
          </w:tcPr>
          <w:p w:rsidR="00EE6B83" w:rsidRDefault="00EE6B83" w:rsidP="00742657">
            <w:pPr>
              <w:ind w:right="-1"/>
              <w:rPr>
                <w:rFonts w:ascii="Times New Roman" w:hAnsi="Times New Roman" w:cs="Times New Roman"/>
              </w:rPr>
            </w:pPr>
            <w:r w:rsidRPr="00450429">
              <w:rPr>
                <w:rFonts w:ascii="Times New Roman" w:hAnsi="Times New Roman" w:cs="Times New Roman"/>
                <w:sz w:val="24"/>
                <w:szCs w:val="26"/>
              </w:rPr>
              <w:t>Наименование объекта закупки</w:t>
            </w:r>
          </w:p>
        </w:tc>
        <w:tc>
          <w:tcPr>
            <w:tcW w:w="0" w:type="auto"/>
          </w:tcPr>
          <w:p w:rsidR="00EE6B83" w:rsidRPr="004329AE" w:rsidRDefault="00EE6B83" w:rsidP="003C02B9">
            <w:pPr>
              <w:ind w:right="-1"/>
              <w:rPr>
                <w:rFonts w:ascii="Times New Roman" w:hAnsi="Times New Roman" w:cs="Times New Roman"/>
                <w:b/>
                <w:sz w:val="24"/>
                <w:szCs w:val="24"/>
              </w:rPr>
            </w:pPr>
            <w:r w:rsidRPr="004329AE">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5" w:name="Заголовок"/>
            <w:r w:rsidRPr="004329AE">
              <w:rPr>
                <w:rFonts w:ascii="Times New Roman" w:hAnsi="Times New Roman" w:cs="Times New Roman"/>
                <w:b/>
                <w:sz w:val="24"/>
                <w:szCs w:val="24"/>
              </w:rPr>
              <w:instrText xml:space="preserve"> FORMTEXT </w:instrText>
            </w:r>
            <w:r w:rsidRPr="004329AE">
              <w:rPr>
                <w:rFonts w:ascii="Times New Roman" w:hAnsi="Times New Roman" w:cs="Times New Roman"/>
                <w:b/>
                <w:sz w:val="24"/>
                <w:szCs w:val="24"/>
              </w:rPr>
            </w:r>
            <w:r w:rsidRPr="004329AE">
              <w:rPr>
                <w:rFonts w:ascii="Times New Roman" w:hAnsi="Times New Roman" w:cs="Times New Roman"/>
                <w:b/>
                <w:sz w:val="24"/>
                <w:szCs w:val="24"/>
              </w:rPr>
              <w:fldChar w:fldCharType="separate"/>
            </w:r>
            <w:r w:rsidRPr="004329AE">
              <w:rPr>
                <w:rFonts w:ascii="Times New Roman" w:hAnsi="Times New Roman" w:cs="Times New Roman"/>
                <w:b/>
                <w:sz w:val="24"/>
                <w:szCs w:val="24"/>
              </w:rPr>
              <w:t>Поставка изделий медицинского назначения</w:t>
            </w:r>
            <w:r w:rsidRPr="004329AE">
              <w:rPr>
                <w:rFonts w:ascii="Times New Roman" w:hAnsi="Times New Roman" w:cs="Times New Roman"/>
                <w:b/>
                <w:sz w:val="24"/>
                <w:szCs w:val="24"/>
              </w:rPr>
              <w:fldChar w:fldCharType="end"/>
            </w:r>
            <w:bookmarkEnd w:id="5"/>
          </w:p>
        </w:tc>
      </w:tr>
      <w:tr w:rsidR="004329AE" w:rsidRPr="00E961F8" w:rsidTr="00B32574">
        <w:tc>
          <w:tcPr>
            <w:tcW w:w="0" w:type="auto"/>
          </w:tcPr>
          <w:p w:rsidR="004329AE" w:rsidRDefault="004329AE" w:rsidP="006D3E20">
            <w:pPr>
              <w:ind w:right="-1"/>
              <w:rPr>
                <w:rFonts w:ascii="Times New Roman" w:hAnsi="Times New Roman" w:cs="Times New Roman"/>
              </w:rPr>
            </w:pPr>
            <w:r>
              <w:rPr>
                <w:rFonts w:ascii="Times New Roman" w:hAnsi="Times New Roman" w:cs="Times New Roman"/>
              </w:rPr>
              <w:t>3.</w:t>
            </w:r>
          </w:p>
        </w:tc>
        <w:tc>
          <w:tcPr>
            <w:tcW w:w="0" w:type="auto"/>
          </w:tcPr>
          <w:p w:rsidR="004329AE" w:rsidRPr="00450429" w:rsidRDefault="003671D1" w:rsidP="00742657">
            <w:pPr>
              <w:ind w:right="-1"/>
              <w:rPr>
                <w:rFonts w:ascii="Times New Roman" w:hAnsi="Times New Roman" w:cs="Times New Roman"/>
                <w:sz w:val="24"/>
                <w:szCs w:val="26"/>
              </w:rPr>
            </w:pPr>
            <w:r w:rsidRPr="00450429">
              <w:rPr>
                <w:rFonts w:ascii="Times New Roman" w:hAnsi="Times New Roman"/>
                <w:sz w:val="24"/>
                <w:szCs w:val="26"/>
              </w:rPr>
              <w:t>Коды ОКПД2 / КТРУ</w:t>
            </w:r>
          </w:p>
        </w:tc>
        <w:tc>
          <w:tcPr>
            <w:tcW w:w="0" w:type="auto"/>
          </w:tcPr>
          <w:p w:rsidR="004329AE" w:rsidRPr="00472CAA" w:rsidRDefault="00680DD0" w:rsidP="003C02B9">
            <w:pPr>
              <w:ind w:right="-1"/>
              <w:rPr>
                <w:rFonts w:ascii="Times New Roman" w:hAnsi="Times New Roman" w:cs="Times New Roman"/>
                <w:sz w:val="24"/>
                <w:szCs w:val="24"/>
              </w:rPr>
            </w:pPr>
            <w:r>
              <w:rPr>
                <w:rFonts w:ascii="Times New Roman" w:hAnsi="Times New Roman" w:cs="Times New Roman"/>
                <w:sz w:val="24"/>
                <w:szCs w:val="24"/>
              </w:rPr>
              <w:fldChar w:fldCharType="begin">
                <w:ffData>
                  <w:name w:val="ОКПД2"/>
                  <w:enabled/>
                  <w:calcOnExit w:val="0"/>
                  <w:textInput>
                    <w:default w:val="ОКПД2"/>
                  </w:textInput>
                </w:ffData>
              </w:fldChar>
            </w:r>
            <w:bookmarkStart w:id="6" w:name="ОКПД2"/>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Указаны в пункте 18</w:t>
            </w:r>
            <w:r>
              <w:rPr>
                <w:rFonts w:ascii="Times New Roman" w:hAnsi="Times New Roman" w:cs="Times New Roman"/>
                <w:sz w:val="24"/>
                <w:szCs w:val="24"/>
              </w:rPr>
              <w:fldChar w:fldCharType="end"/>
            </w:r>
            <w:bookmarkEnd w:id="6"/>
          </w:p>
        </w:tc>
      </w:tr>
      <w:tr w:rsidR="00EE6B83" w:rsidRPr="00E961F8" w:rsidTr="00B32574">
        <w:tc>
          <w:tcPr>
            <w:tcW w:w="0" w:type="auto"/>
          </w:tcPr>
          <w:p w:rsidR="00EE6B83" w:rsidRDefault="004329AE" w:rsidP="006D3E20">
            <w:pPr>
              <w:ind w:right="-1"/>
              <w:rPr>
                <w:rFonts w:ascii="Times New Roman" w:hAnsi="Times New Roman" w:cs="Times New Roman"/>
              </w:rPr>
            </w:pPr>
            <w:r>
              <w:rPr>
                <w:rFonts w:ascii="Times New Roman" w:hAnsi="Times New Roman" w:cs="Times New Roman"/>
              </w:rPr>
              <w:t>4.</w:t>
            </w:r>
          </w:p>
        </w:tc>
        <w:tc>
          <w:tcPr>
            <w:tcW w:w="0" w:type="auto"/>
          </w:tcPr>
          <w:p w:rsidR="00EE6B83" w:rsidRPr="00E961F8" w:rsidRDefault="004329AE" w:rsidP="00742657">
            <w:pPr>
              <w:ind w:right="-1"/>
              <w:rPr>
                <w:rFonts w:ascii="Times New Roman" w:hAnsi="Times New Roman" w:cs="Times New Roman"/>
              </w:rPr>
            </w:pPr>
            <w:r w:rsidRPr="00450429">
              <w:rPr>
                <w:rFonts w:ascii="Times New Roman" w:hAnsi="Times New Roman" w:cs="Times New Roman"/>
                <w:sz w:val="24"/>
                <w:szCs w:val="26"/>
              </w:rPr>
              <w:t>Место исполнения обязательств (адрес поставки, оказания услуг, выполнения работ)</w:t>
            </w:r>
          </w:p>
        </w:tc>
        <w:tc>
          <w:tcPr>
            <w:tcW w:w="0" w:type="auto"/>
          </w:tcPr>
          <w:p w:rsidR="00EE6B83" w:rsidRPr="00402525" w:rsidRDefault="00942FAD" w:rsidP="003C02B9">
            <w:pPr>
              <w:ind w:right="-1"/>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7"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197758, Россия, г. Санкт- Петербург, п. Песочный, ул. Ленинградская, дом 68</w:t>
            </w:r>
            <w:r w:rsidRPr="00942FAD">
              <w:rPr>
                <w:rFonts w:ascii="Times New Roman" w:hAnsi="Times New Roman" w:cs="Times New Roman"/>
                <w:sz w:val="24"/>
                <w:szCs w:val="24"/>
              </w:rPr>
              <w:fldChar w:fldCharType="end"/>
            </w:r>
            <w:bookmarkEnd w:id="7"/>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5.</w:t>
            </w:r>
          </w:p>
        </w:tc>
        <w:tc>
          <w:tcPr>
            <w:tcW w:w="0" w:type="auto"/>
          </w:tcPr>
          <w:p w:rsidR="004329AE" w:rsidRPr="008252D7" w:rsidRDefault="004329AE" w:rsidP="00742657">
            <w:pPr>
              <w:ind w:right="-1"/>
              <w:rPr>
                <w:rFonts w:ascii="Times New Roman" w:hAnsi="Times New Roman" w:cs="Times New Roman"/>
              </w:rPr>
            </w:pPr>
            <w:r w:rsidRPr="00450429">
              <w:rPr>
                <w:rFonts w:ascii="Times New Roman" w:hAnsi="Times New Roman" w:cs="Times New Roman"/>
                <w:sz w:val="24"/>
                <w:szCs w:val="26"/>
              </w:rPr>
              <w:t>Авансирование</w:t>
            </w:r>
          </w:p>
        </w:tc>
        <w:tc>
          <w:tcPr>
            <w:tcW w:w="0" w:type="auto"/>
          </w:tcPr>
          <w:p w:rsidR="004329AE" w:rsidRPr="00472CAA" w:rsidRDefault="00F73B84" w:rsidP="003C02B9">
            <w:pPr>
              <w:ind w:right="-1"/>
              <w:rPr>
                <w:rFonts w:ascii="Times New Roman" w:hAnsi="Times New Roman" w:cs="Times New Roman"/>
                <w:sz w:val="24"/>
                <w:szCs w:val="24"/>
              </w:rPr>
            </w:pPr>
            <w:r w:rsidRPr="00F73B84">
              <w:rPr>
                <w:rFonts w:ascii="Times New Roman" w:hAnsi="Times New Roman" w:cs="Times New Roman"/>
                <w:sz w:val="24"/>
                <w:szCs w:val="24"/>
              </w:rPr>
              <w:fldChar w:fldCharType="begin">
                <w:ffData>
                  <w:name w:val="Доп_e3b8b8ed_6"/>
                  <w:enabled/>
                  <w:calcOnExit w:val="0"/>
                  <w:textInput>
                    <w:default w:val="Авансирование"/>
                  </w:textInput>
                </w:ffData>
              </w:fldChar>
            </w:r>
            <w:bookmarkStart w:id="8" w:name="Доп_e3b8b8ed_6"/>
            <w:r w:rsidRPr="00F73B84">
              <w:rPr>
                <w:rFonts w:ascii="Times New Roman" w:hAnsi="Times New Roman" w:cs="Times New Roman"/>
                <w:sz w:val="24"/>
                <w:szCs w:val="24"/>
              </w:rPr>
              <w:instrText xml:space="preserve"> FORMTEXT </w:instrText>
            </w:r>
            <w:r w:rsidRPr="00F73B84">
              <w:rPr>
                <w:rFonts w:ascii="Times New Roman" w:hAnsi="Times New Roman" w:cs="Times New Roman"/>
                <w:sz w:val="24"/>
                <w:szCs w:val="24"/>
              </w:rPr>
            </w:r>
            <w:r w:rsidRPr="00F73B84">
              <w:rPr>
                <w:rFonts w:ascii="Times New Roman" w:hAnsi="Times New Roman" w:cs="Times New Roman"/>
                <w:sz w:val="24"/>
                <w:szCs w:val="24"/>
              </w:rPr>
              <w:fldChar w:fldCharType="separate"/>
            </w:r>
            <w:r w:rsidRPr="00F73B84">
              <w:rPr>
                <w:rFonts w:ascii="Times New Roman" w:hAnsi="Times New Roman" w:cs="Times New Roman"/>
                <w:sz w:val="24"/>
                <w:szCs w:val="24"/>
              </w:rPr>
              <w:t>Не предусмотрено</w:t>
            </w:r>
            <w:r w:rsidRPr="00F73B84">
              <w:rPr>
                <w:rFonts w:ascii="Times New Roman" w:hAnsi="Times New Roman" w:cs="Times New Roman"/>
                <w:sz w:val="24"/>
                <w:szCs w:val="24"/>
              </w:rPr>
              <w:fldChar w:fldCharType="end"/>
            </w:r>
            <w:bookmarkEnd w:id="8"/>
          </w:p>
        </w:tc>
      </w:tr>
      <w:tr w:rsidR="004329AE" w:rsidRPr="008252D7" w:rsidTr="00B32574">
        <w:tc>
          <w:tcPr>
            <w:tcW w:w="0" w:type="auto"/>
          </w:tcPr>
          <w:p w:rsidR="004329AE" w:rsidRPr="008252D7" w:rsidRDefault="004329AE" w:rsidP="006D3E20">
            <w:pPr>
              <w:ind w:right="-1"/>
              <w:rPr>
                <w:rFonts w:ascii="Times New Roman" w:hAnsi="Times New Roman" w:cs="Times New Roman"/>
              </w:rPr>
            </w:pPr>
            <w:r>
              <w:rPr>
                <w:rFonts w:ascii="Times New Roman" w:hAnsi="Times New Roman" w:cs="Times New Roman"/>
              </w:rPr>
              <w:t>6.</w:t>
            </w:r>
          </w:p>
        </w:tc>
        <w:tc>
          <w:tcPr>
            <w:tcW w:w="0" w:type="auto"/>
          </w:tcPr>
          <w:p w:rsidR="004329AE" w:rsidRPr="008252D7" w:rsidRDefault="00FE5F2E" w:rsidP="00742657">
            <w:pPr>
              <w:ind w:right="-1"/>
              <w:rPr>
                <w:rFonts w:ascii="Times New Roman" w:hAnsi="Times New Roman" w:cs="Times New Roman"/>
              </w:rPr>
            </w:pPr>
            <w:r w:rsidRPr="004A1329">
              <w:rPr>
                <w:rFonts w:ascii="Times New Roman" w:hAnsi="Times New Roman"/>
                <w:sz w:val="24"/>
                <w:szCs w:val="26"/>
              </w:rPr>
              <w:t>Срок окончания действия договора (контракта)</w:t>
            </w:r>
          </w:p>
        </w:tc>
        <w:tc>
          <w:tcPr>
            <w:tcW w:w="0" w:type="auto"/>
          </w:tcPr>
          <w:p w:rsidR="004329AE"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78adaf78_f"/>
                  <w:enabled/>
                  <w:calcOnExit w:val="0"/>
                  <w:textInput>
                    <w:default w:val="Срок окончания действия договора (контракта)"/>
                  </w:textInput>
                </w:ffData>
              </w:fldChar>
            </w:r>
            <w:bookmarkStart w:id="9" w:name="Доп_78adaf78_f"/>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25.12.2023</w:t>
            </w:r>
            <w:r w:rsidRPr="00317DBA">
              <w:rPr>
                <w:rFonts w:ascii="Times New Roman" w:hAnsi="Times New Roman" w:cs="Times New Roman"/>
                <w:sz w:val="24"/>
                <w:szCs w:val="24"/>
              </w:rPr>
              <w:fldChar w:fldCharType="end"/>
            </w:r>
            <w:bookmarkEnd w:id="9"/>
          </w:p>
        </w:tc>
      </w:tr>
      <w:tr w:rsidR="004329AE" w:rsidRPr="008252D7" w:rsidTr="00B32574">
        <w:tc>
          <w:tcPr>
            <w:tcW w:w="0" w:type="auto"/>
          </w:tcPr>
          <w:p w:rsidR="004329AE" w:rsidRDefault="004329AE" w:rsidP="004329AE">
            <w:pPr>
              <w:rPr>
                <w:rFonts w:ascii="Times New Roman" w:hAnsi="Times New Roman" w:cs="Times New Roman"/>
                <w:b/>
                <w:sz w:val="24"/>
                <w:szCs w:val="26"/>
              </w:rPr>
            </w:pPr>
            <w:r>
              <w:rPr>
                <w:rFonts w:ascii="Times New Roman" w:hAnsi="Times New Roman" w:cs="Times New Roman"/>
                <w:b/>
                <w:sz w:val="24"/>
                <w:szCs w:val="26"/>
              </w:rPr>
              <w:t>7.</w:t>
            </w:r>
          </w:p>
        </w:tc>
        <w:tc>
          <w:tcPr>
            <w:tcW w:w="0" w:type="auto"/>
            <w:gridSpan w:val="2"/>
          </w:tcPr>
          <w:p w:rsidR="004329AE" w:rsidRPr="00472CAA" w:rsidRDefault="004329AE" w:rsidP="00AE3138">
            <w:pPr>
              <w:ind w:right="-1"/>
              <w:rPr>
                <w:rFonts w:ascii="Times New Roman" w:hAnsi="Times New Roman" w:cs="Times New Roman"/>
                <w:b/>
                <w:sz w:val="24"/>
                <w:szCs w:val="24"/>
              </w:rPr>
            </w:pPr>
            <w:r w:rsidRPr="00472CAA">
              <w:rPr>
                <w:rFonts w:ascii="Times New Roman" w:hAnsi="Times New Roman" w:cs="Times New Roman"/>
                <w:b/>
                <w:sz w:val="24"/>
                <w:szCs w:val="24"/>
              </w:rPr>
              <w:t>Установление сроков исполнения обязательств контрагентом</w:t>
            </w:r>
          </w:p>
        </w:tc>
      </w:tr>
      <w:tr w:rsidR="00162746" w:rsidRPr="008252D7" w:rsidTr="00B32574">
        <w:tc>
          <w:tcPr>
            <w:tcW w:w="0" w:type="auto"/>
          </w:tcPr>
          <w:p w:rsidR="00162746" w:rsidRPr="008252D7" w:rsidRDefault="00162746" w:rsidP="006D3E20">
            <w:pPr>
              <w:ind w:right="-1"/>
              <w:rPr>
                <w:rFonts w:ascii="Times New Roman" w:hAnsi="Times New Roman" w:cs="Times New Roman"/>
              </w:rPr>
            </w:pPr>
            <w:r>
              <w:rPr>
                <w:rFonts w:ascii="Times New Roman" w:hAnsi="Times New Roman" w:cs="Times New Roman"/>
              </w:rPr>
              <w:t>7.1</w:t>
            </w:r>
          </w:p>
        </w:tc>
        <w:tc>
          <w:tcPr>
            <w:tcW w:w="0" w:type="auto"/>
          </w:tcPr>
          <w:p w:rsidR="00162746"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Срок начала исполнения обязательств контрагентом:</w:t>
            </w:r>
          </w:p>
        </w:tc>
        <w:tc>
          <w:tcPr>
            <w:tcW w:w="0" w:type="auto"/>
          </w:tcPr>
          <w:p w:rsidR="00162746"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10"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с ммоента подписания контракта</w:t>
            </w:r>
            <w:r w:rsidRPr="00317DBA">
              <w:rPr>
                <w:rFonts w:ascii="Times New Roman" w:hAnsi="Times New Roman" w:cs="Times New Roman"/>
                <w:sz w:val="24"/>
                <w:szCs w:val="24"/>
              </w:rPr>
              <w:fldChar w:fldCharType="end"/>
            </w:r>
            <w:bookmarkEnd w:id="10"/>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7.2</w:t>
            </w:r>
          </w:p>
        </w:tc>
        <w:tc>
          <w:tcPr>
            <w:tcW w:w="0" w:type="auto"/>
          </w:tcPr>
          <w:p w:rsidR="00EE6B83" w:rsidRPr="00E80564" w:rsidRDefault="00FE5F2E" w:rsidP="00742657">
            <w:pPr>
              <w:ind w:right="-1"/>
              <w:rPr>
                <w:rFonts w:ascii="Times New Roman" w:hAnsi="Times New Roman" w:cs="Times New Roman"/>
              </w:rPr>
            </w:pPr>
            <w:r w:rsidRPr="004A1329">
              <w:rPr>
                <w:rFonts w:ascii="Times New Roman" w:hAnsi="Times New Roman"/>
                <w:sz w:val="24"/>
                <w:szCs w:val="26"/>
              </w:rPr>
              <w:t>Срок окончания исполнения обязательств контрагентом</w:t>
            </w:r>
            <w:r w:rsidR="00E80564" w:rsidRPr="00E80564">
              <w:rPr>
                <w:rFonts w:ascii="Times New Roman" w:hAnsi="Times New Roman"/>
                <w:sz w:val="24"/>
                <w:szCs w:val="26"/>
              </w:rPr>
              <w:t xml:space="preserve"> </w:t>
            </w:r>
            <w:r w:rsidR="00E80564">
              <w:rPr>
                <w:rFonts w:ascii="Times New Roman" w:hAnsi="Times New Roman"/>
                <w:sz w:val="24"/>
                <w:szCs w:val="26"/>
              </w:rPr>
              <w:t>не позднее</w:t>
            </w:r>
          </w:p>
        </w:tc>
        <w:tc>
          <w:tcPr>
            <w:tcW w:w="0" w:type="auto"/>
          </w:tcPr>
          <w:p w:rsidR="00EE6B83"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11"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в течение 10 дней с момента подписания контракта</w:t>
            </w:r>
            <w:r w:rsidRPr="00317DBA">
              <w:rPr>
                <w:rFonts w:ascii="Times New Roman" w:hAnsi="Times New Roman" w:cs="Times New Roman"/>
                <w:sz w:val="24"/>
                <w:szCs w:val="24"/>
              </w:rPr>
              <w:fldChar w:fldCharType="end"/>
            </w:r>
            <w:bookmarkEnd w:id="11"/>
          </w:p>
        </w:tc>
      </w:tr>
      <w:tr w:rsidR="004329AE" w:rsidRPr="008252D7" w:rsidTr="00B32574">
        <w:tc>
          <w:tcPr>
            <w:tcW w:w="0" w:type="auto"/>
          </w:tcPr>
          <w:p w:rsidR="004329AE" w:rsidRPr="008252D7" w:rsidRDefault="00162746" w:rsidP="006D3E20">
            <w:pPr>
              <w:ind w:right="-1"/>
              <w:rPr>
                <w:rFonts w:ascii="Times New Roman" w:hAnsi="Times New Roman" w:cs="Times New Roman"/>
              </w:rPr>
            </w:pPr>
            <w:r>
              <w:rPr>
                <w:rFonts w:ascii="Times New Roman" w:hAnsi="Times New Roman" w:cs="Times New Roman"/>
              </w:rPr>
              <w:t>7.3</w:t>
            </w:r>
          </w:p>
        </w:tc>
        <w:tc>
          <w:tcPr>
            <w:tcW w:w="0" w:type="auto"/>
          </w:tcPr>
          <w:p w:rsidR="004329AE"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Периодичность выполнения работ, оказания услуг либо количество партий поставляемого товаров: (</w:t>
            </w:r>
            <w:r w:rsidRPr="00450429">
              <w:rPr>
                <w:rFonts w:ascii="Times New Roman" w:hAnsi="Times New Roman" w:cs="Times New Roman"/>
                <w:i/>
                <w:sz w:val="24"/>
                <w:szCs w:val="26"/>
              </w:rPr>
              <w:t>обязательства контрагента</w:t>
            </w:r>
            <w:r w:rsidRPr="00450429">
              <w:rPr>
                <w:rFonts w:ascii="Times New Roman" w:hAnsi="Times New Roman" w:cs="Times New Roman"/>
                <w:sz w:val="24"/>
                <w:szCs w:val="26"/>
              </w:rPr>
              <w:t>)</w:t>
            </w:r>
          </w:p>
        </w:tc>
        <w:tc>
          <w:tcPr>
            <w:tcW w:w="0" w:type="auto"/>
          </w:tcPr>
          <w:p w:rsidR="004329AE" w:rsidRPr="00472CAA" w:rsidRDefault="001347C5"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12"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один этап</w:t>
            </w:r>
            <w:r w:rsidRPr="001347C5">
              <w:rPr>
                <w:rFonts w:ascii="Times New Roman" w:hAnsi="Times New Roman" w:cs="Times New Roman"/>
                <w:sz w:val="24"/>
                <w:szCs w:val="24"/>
              </w:rPr>
              <w:fldChar w:fldCharType="end"/>
            </w:r>
            <w:bookmarkEnd w:id="12"/>
          </w:p>
        </w:tc>
      </w:tr>
      <w:tr w:rsidR="00EE6B83" w:rsidRPr="008252D7" w:rsidTr="00B32574">
        <w:tc>
          <w:tcPr>
            <w:tcW w:w="0" w:type="auto"/>
          </w:tcPr>
          <w:p w:rsidR="00EE6B83" w:rsidRPr="008252D7" w:rsidRDefault="00162746" w:rsidP="006D3E20">
            <w:pPr>
              <w:ind w:right="-1"/>
              <w:rPr>
                <w:rFonts w:ascii="Times New Roman" w:hAnsi="Times New Roman" w:cs="Times New Roman"/>
              </w:rPr>
            </w:pPr>
            <w:r>
              <w:rPr>
                <w:rFonts w:ascii="Times New Roman" w:hAnsi="Times New Roman" w:cs="Times New Roman"/>
              </w:rPr>
              <w:t>8.</w:t>
            </w:r>
          </w:p>
        </w:tc>
        <w:tc>
          <w:tcPr>
            <w:tcW w:w="0" w:type="auto"/>
          </w:tcPr>
          <w:p w:rsidR="00EE6B83" w:rsidRPr="008252D7" w:rsidRDefault="00162746" w:rsidP="00742657">
            <w:pPr>
              <w:ind w:right="-1"/>
              <w:rPr>
                <w:rFonts w:ascii="Times New Roman" w:hAnsi="Times New Roman" w:cs="Times New Roman"/>
              </w:rPr>
            </w:pPr>
            <w:r w:rsidRPr="00450429">
              <w:rPr>
                <w:rFonts w:ascii="Times New Roman" w:hAnsi="Times New Roman" w:cs="Times New Roman"/>
                <w:sz w:val="24"/>
                <w:szCs w:val="26"/>
              </w:rPr>
              <w:t>Оплата</w:t>
            </w:r>
          </w:p>
        </w:tc>
        <w:tc>
          <w:tcPr>
            <w:tcW w:w="0" w:type="auto"/>
          </w:tcPr>
          <w:p w:rsidR="00EE6B83" w:rsidRPr="00402525" w:rsidRDefault="00E96350" w:rsidP="003C02B9">
            <w:pPr>
              <w:ind w:right="-1"/>
              <w:rPr>
                <w:rFonts w:ascii="Times New Roman" w:hAnsi="Times New Roman" w:cs="Times New Roman"/>
                <w:sz w:val="24"/>
                <w:szCs w:val="24"/>
              </w:rPr>
            </w:pPr>
            <w:r w:rsidRPr="00E96350">
              <w:rPr>
                <w:rFonts w:ascii="Times New Roman" w:hAnsi="Times New Roman" w:cs="Times New Roman"/>
                <w:sz w:val="24"/>
                <w:szCs w:val="24"/>
              </w:rPr>
              <w:fldChar w:fldCharType="begin">
                <w:ffData>
                  <w:name w:val="Доп_dc2b8fb3_0"/>
                  <w:enabled/>
                  <w:calcOnExit w:val="0"/>
                  <w:textInput>
                    <w:default w:val="8. Оплата"/>
                  </w:textInput>
                </w:ffData>
              </w:fldChar>
            </w:r>
            <w:bookmarkStart w:id="13" w:name="Доп_dc2b8fb3_0"/>
            <w:r w:rsidRPr="00E96350">
              <w:rPr>
                <w:rFonts w:ascii="Times New Roman" w:hAnsi="Times New Roman" w:cs="Times New Roman"/>
                <w:sz w:val="24"/>
                <w:szCs w:val="24"/>
              </w:rPr>
              <w:instrText xml:space="preserve"> FORMTEXT </w:instrText>
            </w:r>
            <w:r w:rsidRPr="00E96350">
              <w:rPr>
                <w:rFonts w:ascii="Times New Roman" w:hAnsi="Times New Roman" w:cs="Times New Roman"/>
                <w:sz w:val="24"/>
                <w:szCs w:val="24"/>
              </w:rPr>
            </w:r>
            <w:r w:rsidRPr="00E96350">
              <w:rPr>
                <w:rFonts w:ascii="Times New Roman" w:hAnsi="Times New Roman" w:cs="Times New Roman"/>
                <w:sz w:val="24"/>
                <w:szCs w:val="24"/>
              </w:rPr>
              <w:fldChar w:fldCharType="separate"/>
            </w:r>
            <w:r w:rsidRPr="00E96350">
              <w:rPr>
                <w:rFonts w:ascii="Times New Roman" w:hAnsi="Times New Roman" w:cs="Times New Roman"/>
                <w:sz w:val="24"/>
                <w:szCs w:val="24"/>
              </w:rPr>
              <w:t>Оплата производится в соответствии со сроками, установленными согласно части 13.1 статьи 34 Федерального закона от 05.04.2013г. № 44-ФЗ</w:t>
            </w:r>
            <w:r w:rsidRPr="00E96350">
              <w:rPr>
                <w:rFonts w:ascii="Times New Roman" w:hAnsi="Times New Roman" w:cs="Times New Roman"/>
                <w:sz w:val="24"/>
                <w:szCs w:val="24"/>
              </w:rPr>
              <w:fldChar w:fldCharType="end"/>
            </w:r>
            <w:bookmarkEnd w:id="13"/>
          </w:p>
        </w:tc>
      </w:tr>
      <w:tr w:rsidR="00EE6B83" w:rsidRPr="008252D7" w:rsidTr="00B32574">
        <w:tc>
          <w:tcPr>
            <w:tcW w:w="0" w:type="auto"/>
          </w:tcPr>
          <w:p w:rsidR="00EE6B83" w:rsidRPr="006474B5" w:rsidRDefault="00162746" w:rsidP="006D3E20">
            <w:pPr>
              <w:ind w:right="-1"/>
              <w:rPr>
                <w:rFonts w:ascii="Times New Roman" w:hAnsi="Times New Roman" w:cs="Times New Roman"/>
              </w:rPr>
            </w:pPr>
            <w:r>
              <w:rPr>
                <w:rFonts w:ascii="Times New Roman" w:hAnsi="Times New Roman" w:cs="Times New Roman"/>
              </w:rPr>
              <w:t>9.</w:t>
            </w:r>
          </w:p>
        </w:tc>
        <w:tc>
          <w:tcPr>
            <w:tcW w:w="0" w:type="auto"/>
          </w:tcPr>
          <w:p w:rsidR="00EE6B83" w:rsidRDefault="00162746" w:rsidP="00742657">
            <w:pPr>
              <w:ind w:right="-1"/>
              <w:rPr>
                <w:rFonts w:ascii="Times New Roman" w:hAnsi="Times New Roman" w:cs="Times New Roman"/>
              </w:rPr>
            </w:pPr>
            <w:r w:rsidRPr="00450429">
              <w:rPr>
                <w:rFonts w:ascii="Times New Roman" w:hAnsi="Times New Roman" w:cs="Times New Roman"/>
                <w:sz w:val="24"/>
                <w:szCs w:val="26"/>
              </w:rPr>
              <w:t>Документы, которые должны быть представлены поставщиком (подрядчиком, исполнителем) вместе с товаром (результатом выполненной работы, оказанной услуги)</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19e2de83_3"/>
                  <w:enabled/>
                  <w:calcOnExit w:val="0"/>
                  <w:textInput>
                    <w:default w:val="Документы, которые должны быть представлены"/>
                  </w:textInput>
                </w:ffData>
              </w:fldChar>
            </w:r>
            <w:bookmarkStart w:id="14" w:name="Доп_19e2de83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регистрационные удостоверения</w:t>
            </w:r>
            <w:r w:rsidRPr="001347C5">
              <w:rPr>
                <w:rFonts w:ascii="Times New Roman" w:hAnsi="Times New Roman" w:cs="Times New Roman"/>
                <w:sz w:val="24"/>
                <w:szCs w:val="24"/>
              </w:rPr>
              <w:fldChar w:fldCharType="end"/>
            </w:r>
            <w:bookmarkEnd w:id="14"/>
          </w:p>
        </w:tc>
      </w:tr>
      <w:tr w:rsidR="00EE6B83" w:rsidRPr="008252D7" w:rsidTr="00B32574">
        <w:tc>
          <w:tcPr>
            <w:tcW w:w="0" w:type="auto"/>
          </w:tcPr>
          <w:p w:rsidR="00EE6B83" w:rsidRPr="008252D7" w:rsidRDefault="00162746" w:rsidP="002D10A6">
            <w:pPr>
              <w:ind w:right="-1"/>
              <w:rPr>
                <w:rFonts w:ascii="Times New Roman" w:hAnsi="Times New Roman" w:cs="Times New Roman"/>
              </w:rPr>
            </w:pPr>
            <w:r>
              <w:rPr>
                <w:rFonts w:ascii="Times New Roman" w:hAnsi="Times New Roman" w:cs="Times New Roman"/>
              </w:rPr>
              <w:t>10</w:t>
            </w:r>
          </w:p>
        </w:tc>
        <w:tc>
          <w:tcPr>
            <w:tcW w:w="0" w:type="auto"/>
          </w:tcPr>
          <w:p w:rsidR="00EE6B83" w:rsidRPr="006474B5" w:rsidRDefault="00162746" w:rsidP="00742657">
            <w:pPr>
              <w:ind w:right="-1"/>
              <w:rPr>
                <w:rFonts w:ascii="Times New Roman" w:hAnsi="Times New Roman" w:cs="Times New Roman"/>
              </w:rPr>
            </w:pPr>
            <w:r w:rsidRPr="00450429">
              <w:rPr>
                <w:rFonts w:ascii="Times New Roman" w:hAnsi="Times New Roman" w:cs="Times New Roman"/>
                <w:sz w:val="24"/>
                <w:szCs w:val="26"/>
              </w:rPr>
              <w:t>Специальное право, которое должно быть у участника закупки и (или) поставщика (подрядчика, исполнителя) (наличие лицензии, членство в саморегулируемой организации и т.п.)</w:t>
            </w:r>
          </w:p>
        </w:tc>
        <w:tc>
          <w:tcPr>
            <w:tcW w:w="0" w:type="auto"/>
          </w:tcPr>
          <w:p w:rsidR="00EE6B83"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5" w:name="Доп_a9498812_2"/>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5"/>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11.</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Дополнительные требования к участникам закупки (при наличии таких требований) и обоснование этих требований</w:t>
            </w:r>
          </w:p>
        </w:tc>
        <w:tc>
          <w:tcPr>
            <w:tcW w:w="0" w:type="auto"/>
          </w:tcPr>
          <w:p w:rsidR="000F0075" w:rsidRPr="00402525"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6"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предусмотрено</w:t>
            </w:r>
            <w:r w:rsidRPr="001347C5">
              <w:rPr>
                <w:rFonts w:ascii="Times New Roman" w:hAnsi="Times New Roman" w:cs="Times New Roman"/>
                <w:sz w:val="24"/>
                <w:szCs w:val="24"/>
              </w:rPr>
              <w:fldChar w:fldCharType="end"/>
            </w:r>
            <w:bookmarkEnd w:id="16"/>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12.</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Срок действия гарантии качества товара (работы, услуги) после приемки Заказчиком</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7"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317DBA">
              <w:rPr>
                <w:rFonts w:ascii="Times New Roman" w:hAnsi="Times New Roman" w:cs="Times New Roman"/>
                <w:sz w:val="24"/>
                <w:szCs w:val="24"/>
              </w:rPr>
              <w:fldChar w:fldCharType="end"/>
            </w:r>
            <w:bookmarkEnd w:id="17"/>
          </w:p>
        </w:tc>
      </w:tr>
      <w:tr w:rsidR="000F0075" w:rsidRPr="008252D7" w:rsidTr="00B32574">
        <w:tc>
          <w:tcPr>
            <w:tcW w:w="0" w:type="auto"/>
          </w:tcPr>
          <w:p w:rsidR="000F0075" w:rsidRPr="006474B5" w:rsidRDefault="000F0075" w:rsidP="006D3E20">
            <w:pPr>
              <w:ind w:right="-1"/>
              <w:rPr>
                <w:rFonts w:ascii="Times New Roman" w:hAnsi="Times New Roman" w:cs="Times New Roman"/>
              </w:rPr>
            </w:pPr>
            <w:r>
              <w:rPr>
                <w:rFonts w:ascii="Times New Roman" w:hAnsi="Times New Roman" w:cs="Times New Roman"/>
              </w:rPr>
              <w:t>13.</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Размер обеспечения гарантийных обязательств (до 10% НМЦК)</w:t>
            </w:r>
          </w:p>
        </w:tc>
        <w:tc>
          <w:tcPr>
            <w:tcW w:w="0" w:type="auto"/>
          </w:tcPr>
          <w:p w:rsidR="000F0075" w:rsidRPr="00E76E96" w:rsidRDefault="00E76E96" w:rsidP="003C02B9">
            <w:pPr>
              <w:ind w:right="-1"/>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8"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не предусмотрено</w:t>
            </w:r>
            <w:r w:rsidRPr="00E76E96">
              <w:rPr>
                <w:rFonts w:ascii="Times New Roman" w:hAnsi="Times New Roman" w:cs="Times New Roman"/>
                <w:sz w:val="24"/>
                <w:szCs w:val="24"/>
              </w:rPr>
              <w:fldChar w:fldCharType="end"/>
            </w:r>
            <w:bookmarkEnd w:id="18"/>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14.</w:t>
            </w:r>
          </w:p>
        </w:tc>
        <w:tc>
          <w:tcPr>
            <w:tcW w:w="0" w:type="auto"/>
          </w:tcPr>
          <w:p w:rsidR="000F0075" w:rsidRPr="008252D7" w:rsidRDefault="000F0075" w:rsidP="00742657">
            <w:pPr>
              <w:ind w:right="-1"/>
              <w:rPr>
                <w:rFonts w:ascii="Times New Roman" w:hAnsi="Times New Roman" w:cs="Times New Roman"/>
              </w:rPr>
            </w:pPr>
            <w:r w:rsidRPr="00450429">
              <w:rPr>
                <w:rFonts w:ascii="Times New Roman" w:hAnsi="Times New Roman" w:cs="Times New Roman"/>
                <w:sz w:val="24"/>
                <w:szCs w:val="26"/>
              </w:rPr>
              <w:t>Предоставляемые участникам закупки преимущества в соответствии со статьями 28 и 29 Закона № 44-ФЗ</w:t>
            </w:r>
          </w:p>
        </w:tc>
        <w:tc>
          <w:tcPr>
            <w:tcW w:w="0" w:type="auto"/>
          </w:tcPr>
          <w:p w:rsidR="000F0075" w:rsidRPr="00402525"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a2a7727_a"/>
                  <w:enabled/>
                  <w:calcOnExit w:val="0"/>
                  <w:textInput>
                    <w:default w:val="Предоставляемые участникам закупки преимущества"/>
                  </w:textInput>
                </w:ffData>
              </w:fldChar>
            </w:r>
            <w:bookmarkStart w:id="19" w:name="Доп_aa2a7727_a"/>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не предусмотрено</w:t>
            </w:r>
            <w:r w:rsidRPr="00317DBA">
              <w:rPr>
                <w:rFonts w:ascii="Times New Roman" w:hAnsi="Times New Roman" w:cs="Times New Roman"/>
                <w:sz w:val="24"/>
                <w:szCs w:val="24"/>
              </w:rPr>
              <w:fldChar w:fldCharType="end"/>
            </w:r>
            <w:bookmarkEnd w:id="19"/>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15.</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З</w:t>
            </w:r>
            <w:r w:rsidR="000F0075" w:rsidRPr="00450429">
              <w:rPr>
                <w:rFonts w:ascii="Times New Roman" w:hAnsi="Times New Roman" w:cs="Times New Roman"/>
                <w:sz w:val="24"/>
                <w:szCs w:val="26"/>
              </w:rPr>
              <w:t>апреты, ограничения допуска, условия допуска (преференции) иностранных товаров</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3b2380ca_5"/>
                  <w:enabled/>
                  <w:calcOnExit w:val="0"/>
                  <w:textInput>
                    <w:default w:val="Запреты, ограничения допуска, условия допуска иностранных товаров"/>
                  </w:textInput>
                </w:ffData>
              </w:fldChar>
            </w:r>
            <w:bookmarkStart w:id="20" w:name="Доп_3b2380ca_5"/>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Приказ Минфина России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Pr="001347C5">
              <w:rPr>
                <w:rFonts w:ascii="Times New Roman" w:hAnsi="Times New Roman" w:cs="Times New Roman"/>
                <w:sz w:val="24"/>
                <w:szCs w:val="24"/>
              </w:rPr>
              <w:fldChar w:fldCharType="end"/>
            </w:r>
            <w:bookmarkEnd w:id="20"/>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16.</w:t>
            </w:r>
          </w:p>
        </w:tc>
        <w:tc>
          <w:tcPr>
            <w:tcW w:w="0" w:type="auto"/>
          </w:tcPr>
          <w:p w:rsidR="000F0075" w:rsidRPr="00450429" w:rsidRDefault="000F0075" w:rsidP="00742657">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0" w:type="auto"/>
          </w:tcPr>
          <w:p w:rsidR="000F0075" w:rsidRPr="00472CAA" w:rsidRDefault="00317DBA" w:rsidP="003C02B9">
            <w:pPr>
              <w:ind w:right="-1"/>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21"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Указаны в пункте 18</w:t>
            </w:r>
            <w:r w:rsidRPr="00317DBA">
              <w:rPr>
                <w:rFonts w:ascii="Times New Roman" w:hAnsi="Times New Roman" w:cs="Times New Roman"/>
                <w:sz w:val="24"/>
                <w:szCs w:val="24"/>
              </w:rPr>
              <w:fldChar w:fldCharType="end"/>
            </w:r>
            <w:bookmarkEnd w:id="21"/>
          </w:p>
        </w:tc>
      </w:tr>
      <w:tr w:rsidR="000F0075" w:rsidRPr="008252D7" w:rsidTr="00B32574">
        <w:tc>
          <w:tcPr>
            <w:tcW w:w="0" w:type="auto"/>
          </w:tcPr>
          <w:p w:rsidR="000F0075" w:rsidRDefault="000F0075" w:rsidP="006D3E20">
            <w:pPr>
              <w:ind w:right="-1"/>
              <w:rPr>
                <w:rFonts w:ascii="Times New Roman" w:hAnsi="Times New Roman" w:cs="Times New Roman"/>
              </w:rPr>
            </w:pPr>
            <w:r>
              <w:rPr>
                <w:rFonts w:ascii="Times New Roman" w:hAnsi="Times New Roman" w:cs="Times New Roman"/>
              </w:rPr>
              <w:t>17.</w:t>
            </w:r>
          </w:p>
        </w:tc>
        <w:tc>
          <w:tcPr>
            <w:tcW w:w="0" w:type="auto"/>
          </w:tcPr>
          <w:p w:rsidR="000F0075" w:rsidRDefault="00FE5F2E" w:rsidP="00742657">
            <w:pPr>
              <w:ind w:right="-1"/>
              <w:rPr>
                <w:rFonts w:ascii="Times New Roman" w:hAnsi="Times New Roman" w:cs="Times New Roman"/>
              </w:rPr>
            </w:pPr>
            <w:r>
              <w:rPr>
                <w:rFonts w:ascii="Times New Roman" w:hAnsi="Times New Roman" w:cs="Times New Roman"/>
                <w:sz w:val="24"/>
                <w:szCs w:val="26"/>
              </w:rPr>
              <w:t>Количество и е</w:t>
            </w:r>
            <w:r w:rsidR="000F0075" w:rsidRPr="00450429">
              <w:rPr>
                <w:rFonts w:ascii="Times New Roman" w:hAnsi="Times New Roman" w:cs="Times New Roman"/>
                <w:sz w:val="24"/>
                <w:szCs w:val="26"/>
              </w:rPr>
              <w:t>диница измерения объекта закупки</w:t>
            </w:r>
          </w:p>
        </w:tc>
        <w:tc>
          <w:tcPr>
            <w:tcW w:w="0" w:type="auto"/>
          </w:tcPr>
          <w:p w:rsidR="000F0075" w:rsidRPr="00472CAA" w:rsidRDefault="00733DFE" w:rsidP="003C02B9">
            <w:pPr>
              <w:ind w:right="-1"/>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22"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Указаны в пункте 18</w:t>
            </w:r>
            <w:r w:rsidRPr="001347C5">
              <w:rPr>
                <w:rFonts w:ascii="Times New Roman" w:hAnsi="Times New Roman" w:cs="Times New Roman"/>
                <w:sz w:val="24"/>
                <w:szCs w:val="24"/>
              </w:rPr>
              <w:fldChar w:fldCharType="end"/>
            </w:r>
            <w:bookmarkEnd w:id="22"/>
          </w:p>
        </w:tc>
      </w:tr>
    </w:tbl>
    <w:p w:rsidR="001B53BC" w:rsidRDefault="001B53BC" w:rsidP="00E961F8">
      <w:pPr>
        <w:ind w:left="-426" w:right="-1" w:firstLine="568"/>
        <w:jc w:val="center"/>
        <w:rPr>
          <w:rFonts w:ascii="Times New Roman" w:hAnsi="Times New Roman" w:cs="Times New Roman"/>
          <w:b/>
          <w:sz w:val="28"/>
          <w:szCs w:val="28"/>
        </w:rPr>
        <w:sectPr w:rsidR="001B53BC"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E52880"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18.</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
        <w:gridCol w:w="1245"/>
        <w:gridCol w:w="3093"/>
        <w:gridCol w:w="503"/>
        <w:gridCol w:w="503"/>
        <w:gridCol w:w="895"/>
        <w:gridCol w:w="817"/>
        <w:gridCol w:w="503"/>
        <w:gridCol w:w="738"/>
        <w:gridCol w:w="714"/>
      </w:tblGrid>
      <w:tr w:rsidR="00194E35" w:rsidRPr="00AF1719" w:rsidTr="00DB01CB">
        <w:trPr>
          <w:trHeight w:val="19"/>
          <w:jc w:val="center"/>
        </w:trPr>
        <w:tc>
          <w:tcPr>
            <w:tcW w:w="621" w:type="dxa"/>
            <w:vAlign w:val="center"/>
            <w:hideMark/>
          </w:tcPr>
          <w:p w:rsidR="00194E35" w:rsidRPr="00AF1719" w:rsidRDefault="00194E35" w:rsidP="00DB01CB">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 п/п</w:t>
            </w:r>
          </w:p>
        </w:tc>
        <w:tc>
          <w:tcPr>
            <w:tcW w:w="2142" w:type="dxa"/>
            <w:vAlign w:val="center"/>
            <w:hideMark/>
          </w:tcPr>
          <w:p w:rsidR="00194E35" w:rsidRPr="00AF1719" w:rsidRDefault="00194E35" w:rsidP="00DB01CB">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 xml:space="preserve">Наименование товара </w:t>
            </w:r>
          </w:p>
        </w:tc>
        <w:tc>
          <w:tcPr>
            <w:tcW w:w="5632" w:type="dxa"/>
            <w:vAlign w:val="center"/>
            <w:hideMark/>
          </w:tcPr>
          <w:p w:rsidR="00194E35" w:rsidRPr="00AF1719" w:rsidRDefault="00194E35" w:rsidP="00DB01CB">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740" w:type="dxa"/>
            <w:vAlign w:val="center"/>
          </w:tcPr>
          <w:p w:rsidR="00194E35" w:rsidRPr="00AF1719" w:rsidRDefault="00194E35" w:rsidP="00DB01CB">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Кол-во</w:t>
            </w:r>
          </w:p>
        </w:tc>
        <w:tc>
          <w:tcPr>
            <w:tcW w:w="740" w:type="dxa"/>
            <w:vAlign w:val="center"/>
          </w:tcPr>
          <w:p w:rsidR="00194E35" w:rsidRPr="00AF1719" w:rsidRDefault="00194E35" w:rsidP="00DB01CB">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Ед. изм.</w:t>
            </w:r>
          </w:p>
        </w:tc>
        <w:tc>
          <w:tcPr>
            <w:tcW w:w="1480" w:type="dxa"/>
            <w:vAlign w:val="center"/>
          </w:tcPr>
          <w:p w:rsidR="00194E35" w:rsidRPr="00AF1719" w:rsidRDefault="00194E35" w:rsidP="00DB01CB">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ОКПД2/ КТРУ</w:t>
            </w:r>
          </w:p>
        </w:tc>
        <w:tc>
          <w:tcPr>
            <w:tcW w:w="1333" w:type="dxa"/>
            <w:shd w:val="clear" w:color="auto" w:fill="FFFFCC"/>
            <w:vAlign w:val="center"/>
          </w:tcPr>
          <w:p w:rsidR="00194E35" w:rsidRPr="00AF1719" w:rsidRDefault="00194E35" w:rsidP="00DB01CB">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Страна происхождения</w:t>
            </w:r>
          </w:p>
        </w:tc>
        <w:tc>
          <w:tcPr>
            <w:tcW w:w="740" w:type="dxa"/>
            <w:shd w:val="clear" w:color="auto" w:fill="FFFFCC"/>
            <w:vAlign w:val="center"/>
          </w:tcPr>
          <w:p w:rsidR="00194E35" w:rsidRPr="00AF1719" w:rsidRDefault="00194E35" w:rsidP="00DB01CB">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НДС %</w:t>
            </w:r>
          </w:p>
        </w:tc>
        <w:tc>
          <w:tcPr>
            <w:tcW w:w="1184" w:type="dxa"/>
            <w:shd w:val="clear" w:color="auto" w:fill="FFFFCC"/>
            <w:vAlign w:val="center"/>
          </w:tcPr>
          <w:p w:rsidR="00194E35" w:rsidRPr="00AF1719" w:rsidRDefault="00194E35" w:rsidP="00DB01CB">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Цена за ед. без НДС (руб.)</w:t>
            </w:r>
          </w:p>
        </w:tc>
        <w:tc>
          <w:tcPr>
            <w:tcW w:w="1139" w:type="dxa"/>
            <w:shd w:val="clear" w:color="auto" w:fill="FFFFCC"/>
            <w:vAlign w:val="center"/>
          </w:tcPr>
          <w:p w:rsidR="00194E35" w:rsidRPr="00AF1719" w:rsidRDefault="00194E35" w:rsidP="00DB01CB">
            <w:pPr>
              <w:spacing w:after="0" w:line="240" w:lineRule="auto"/>
              <w:jc w:val="center"/>
              <w:rPr>
                <w:rFonts w:ascii="Times New Roman" w:eastAsia="Times New Roman" w:hAnsi="Times New Roman" w:cs="Times New Roman"/>
                <w:b/>
                <w:lang w:eastAsia="ru-RU"/>
              </w:rPr>
            </w:pPr>
            <w:r w:rsidRPr="00AF1719">
              <w:rPr>
                <w:rFonts w:ascii="Times New Roman" w:eastAsia="Times New Roman" w:hAnsi="Times New Roman" w:cs="Times New Roman"/>
                <w:b/>
                <w:lang w:eastAsia="ru-RU"/>
              </w:rPr>
              <w:t>Сумма без НДС (руб.)</w:t>
            </w:r>
          </w:p>
        </w:tc>
      </w:tr>
      <w:tr w:rsidR="00194E35" w:rsidRPr="00AF1719" w:rsidTr="00DB01CB">
        <w:trPr>
          <w:trHeight w:val="19"/>
          <w:jc w:val="center"/>
        </w:trPr>
        <w:tc>
          <w:tcPr>
            <w:tcW w:w="621" w:type="dxa"/>
          </w:tcPr>
          <w:p w:rsidR="00194E35" w:rsidRPr="00AF1719" w:rsidRDefault="00194E35" w:rsidP="00DB01CB">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42" w:type="dxa"/>
          </w:tcPr>
          <w:p w:rsidR="00194E35" w:rsidRPr="00AF1719" w:rsidRDefault="00194E35" w:rsidP="00DB01CB">
            <w:pPr>
              <w:spacing w:after="0"/>
              <w:rPr>
                <w:rFonts w:ascii="Times New Roman" w:eastAsia="Times New Roman" w:hAnsi="Times New Roman" w:cs="Times New Roman"/>
              </w:rPr>
            </w:pPr>
            <w:r w:rsidRPr="00AF1719">
              <w:rPr>
                <w:rFonts w:ascii="Times New Roman" w:eastAsia="Times New Roman" w:hAnsi="Times New Roman" w:cs="Times New Roman"/>
              </w:rPr>
              <w:t>Иглодержатель, многоразового использования</w:t>
            </w:r>
          </w:p>
        </w:tc>
        <w:tc>
          <w:tcPr>
            <w:tcW w:w="5632" w:type="dxa"/>
          </w:tcPr>
          <w:p w:rsidR="00194E35" w:rsidRPr="00AF1719" w:rsidRDefault="00194E35" w:rsidP="00DB01CB">
            <w:pPr>
              <w:spacing w:line="240" w:lineRule="auto"/>
              <w:rPr>
                <w:rFonts w:ascii="Times New Roman" w:hAnsi="Times New Roman" w:cs="Times New Roman"/>
                <w:color w:val="000000" w:themeColor="text1"/>
              </w:rPr>
            </w:pPr>
            <w:r w:rsidRPr="00AF1719">
              <w:rPr>
                <w:rFonts w:ascii="Times New Roman" w:hAnsi="Times New Roman" w:cs="Times New Roman"/>
                <w:color w:val="000000" w:themeColor="text1"/>
              </w:rPr>
              <w:t xml:space="preserve">Иглодержатель </w:t>
            </w:r>
            <w:r w:rsidRPr="00AF1719">
              <w:rPr>
                <w:rFonts w:ascii="Times New Roman" w:hAnsi="Times New Roman" w:cs="Times New Roman"/>
                <w:color w:val="000000" w:themeColor="text1"/>
                <w:lang w:val="en-US"/>
              </w:rPr>
              <w:t>Large</w:t>
            </w:r>
            <w:r w:rsidRPr="00AF1719">
              <w:rPr>
                <w:rFonts w:ascii="Times New Roman" w:hAnsi="Times New Roman" w:cs="Times New Roman"/>
                <w:color w:val="000000" w:themeColor="text1"/>
              </w:rPr>
              <w:t xml:space="preserve"> должен быть предназначен для удержания шовного материала. Инструмент должен быть полностью совместим с </w:t>
            </w:r>
            <w:r w:rsidRPr="00AF1719">
              <w:rPr>
                <w:rFonts w:ascii="Times New Roman" w:eastAsia="Times New Roman" w:hAnsi="Times New Roman" w:cs="Times New Roman"/>
                <w:color w:val="000000"/>
              </w:rPr>
              <w:t>роботизированным хирургическим эндоскопическим</w:t>
            </w:r>
            <w:r>
              <w:rPr>
                <w:rFonts w:ascii="Times New Roman" w:eastAsia="Times New Roman" w:hAnsi="Times New Roman" w:cs="Times New Roman"/>
                <w:color w:val="000000"/>
              </w:rPr>
              <w:t xml:space="preserve"> </w:t>
            </w:r>
            <w:r w:rsidRPr="00AF1719">
              <w:rPr>
                <w:rFonts w:ascii="Times New Roman" w:eastAsia="Times New Roman" w:hAnsi="Times New Roman" w:cs="Times New Roman"/>
                <w:color w:val="000000"/>
              </w:rPr>
              <w:t>комплексом DaVinci®Xi™, модель IS 4000, имеющи</w:t>
            </w:r>
            <w:r>
              <w:rPr>
                <w:rFonts w:ascii="Times New Roman" w:eastAsia="Times New Roman" w:hAnsi="Times New Roman" w:cs="Times New Roman"/>
                <w:color w:val="000000"/>
              </w:rPr>
              <w:t>м</w:t>
            </w:r>
            <w:r w:rsidRPr="00AF1719">
              <w:rPr>
                <w:rFonts w:ascii="Times New Roman" w:eastAsia="Times New Roman" w:hAnsi="Times New Roman" w:cs="Times New Roman"/>
                <w:color w:val="000000"/>
              </w:rPr>
              <w:t>ся у заказчика.</w:t>
            </w:r>
          </w:p>
          <w:p w:rsidR="00194E35" w:rsidRDefault="00194E35" w:rsidP="00DB01CB">
            <w:pPr>
              <w:rPr>
                <w:rFonts w:ascii="Times New Roman" w:eastAsia="Times New Roman" w:hAnsi="Times New Roman" w:cs="Times New Roman"/>
                <w:color w:val="000000" w:themeColor="text1"/>
                <w:lang w:eastAsia="ru-RU"/>
              </w:rPr>
            </w:pPr>
            <w:r w:rsidRPr="002E1C19">
              <w:rPr>
                <w:rFonts w:ascii="Times New Roman" w:eastAsia="Times New Roman" w:hAnsi="Times New Roman" w:cs="Times New Roman"/>
                <w:color w:val="000000" w:themeColor="text1"/>
                <w:lang w:eastAsia="ru-RU"/>
              </w:rPr>
              <w:t xml:space="preserve">Иглодержатель </w:t>
            </w:r>
            <w:r w:rsidRPr="002E1C19">
              <w:rPr>
                <w:rFonts w:ascii="Times New Roman" w:eastAsia="Times New Roman" w:hAnsi="Times New Roman" w:cs="Times New Roman"/>
                <w:color w:val="000000" w:themeColor="text1"/>
                <w:lang w:val="en-US" w:eastAsia="ru-RU"/>
              </w:rPr>
              <w:t>Large</w:t>
            </w:r>
            <w:r w:rsidRPr="002E1C19">
              <w:rPr>
                <w:rFonts w:ascii="Times New Roman" w:eastAsia="Times New Roman" w:hAnsi="Times New Roman" w:cs="Times New Roman"/>
                <w:color w:val="000000" w:themeColor="text1"/>
                <w:lang w:eastAsia="ru-RU"/>
              </w:rPr>
              <w:t xml:space="preserve"> должен состоять из штифта и концевого эффектора (браншей и механического запястья, расположенного на дистальном конце инструмента). Угол раскрытия браншей должен быть от 0° до 30°, длина браншей должна быть не более 1,0см, рабочая длина инструмента должна быть не менее 31,5см, диаметр штифта и концевого эффектора не более 8 мм. </w:t>
            </w:r>
            <w:r w:rsidRPr="00AF1719">
              <w:rPr>
                <w:rFonts w:ascii="Times New Roman" w:eastAsia="Times New Roman" w:hAnsi="Times New Roman" w:cs="Times New Roman"/>
                <w:color w:val="000000" w:themeColor="text1"/>
                <w:lang w:eastAsia="ru-RU"/>
              </w:rPr>
              <w:t>Инструмент должен быть многоразового использования, иметь не менее 10 применений и упакован в индивидуальную упаковку не менее 1 шт.</w:t>
            </w:r>
          </w:p>
          <w:p w:rsidR="00194E35" w:rsidRPr="00AF1719" w:rsidRDefault="00194E35" w:rsidP="00DB01CB">
            <w:pPr>
              <w:rPr>
                <w:rFonts w:ascii="Times New Roman" w:eastAsia="Times New Roman" w:hAnsi="Times New Roman" w:cs="Times New Roman"/>
                <w:color w:val="000000"/>
              </w:rPr>
            </w:pPr>
            <w:r w:rsidRPr="00AF1719">
              <w:rPr>
                <w:rFonts w:ascii="Times New Roman" w:eastAsia="Times New Roman" w:hAnsi="Times New Roman" w:cs="Times New Roman"/>
                <w:color w:val="000000"/>
              </w:rPr>
              <w:t>Поставка эквивалента не допускается на основании п. 1 ч. 1 ст. 33 Федерального закона от 05.04.2013 № 44-ФЗ «О контрактной системе в сфере закупок товаров, работ, услуг для государственных и муниципальных нужд», т.к. закупка осуществляется на поставку расходных материалов к оборудованию, используемому Заказчиком, в соответствии с технической документацией на указанное оборудование.</w:t>
            </w:r>
          </w:p>
        </w:tc>
        <w:tc>
          <w:tcPr>
            <w:tcW w:w="740" w:type="dxa"/>
          </w:tcPr>
          <w:p w:rsidR="00194E35" w:rsidRPr="00AF1719" w:rsidRDefault="00194E35" w:rsidP="00DB01CB">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40" w:type="dxa"/>
          </w:tcPr>
          <w:p w:rsidR="00194E35" w:rsidRPr="00AF1719" w:rsidRDefault="00194E35" w:rsidP="00DB01CB">
            <w:pPr>
              <w:spacing w:after="0" w:line="240" w:lineRule="auto"/>
              <w:jc w:val="center"/>
              <w:rPr>
                <w:rFonts w:ascii="Times New Roman" w:eastAsia="Times New Roman" w:hAnsi="Times New Roman" w:cs="Times New Roman"/>
                <w:lang w:eastAsia="ru-RU"/>
              </w:rPr>
            </w:pPr>
            <w:r w:rsidRPr="00AF1719">
              <w:rPr>
                <w:rFonts w:ascii="Times New Roman" w:eastAsia="Times New Roman" w:hAnsi="Times New Roman" w:cs="Times New Roman"/>
                <w:lang w:eastAsia="ru-RU"/>
              </w:rPr>
              <w:t>шт</w:t>
            </w:r>
          </w:p>
        </w:tc>
        <w:tc>
          <w:tcPr>
            <w:tcW w:w="1480" w:type="dxa"/>
          </w:tcPr>
          <w:p w:rsidR="00194E35" w:rsidRPr="00AF1719" w:rsidRDefault="00194E35" w:rsidP="00DB01CB">
            <w:pPr>
              <w:spacing w:after="0" w:line="240" w:lineRule="auto"/>
              <w:jc w:val="center"/>
              <w:rPr>
                <w:rFonts w:ascii="Times New Roman" w:eastAsia="Times New Roman" w:hAnsi="Times New Roman" w:cs="Times New Roman"/>
                <w:lang w:eastAsia="ru-RU"/>
              </w:rPr>
            </w:pPr>
            <w:r w:rsidRPr="00AF1719">
              <w:rPr>
                <w:rFonts w:ascii="Times New Roman" w:hAnsi="Times New Roman" w:cs="Times New Roman"/>
                <w:color w:val="000000" w:themeColor="text1"/>
              </w:rPr>
              <w:t>32.50.13.190-00007672</w:t>
            </w:r>
          </w:p>
        </w:tc>
        <w:tc>
          <w:tcPr>
            <w:tcW w:w="1333" w:type="dxa"/>
            <w:shd w:val="clear" w:color="auto" w:fill="FFFFCC"/>
          </w:tcPr>
          <w:p w:rsidR="00194E35" w:rsidRPr="00AF1719" w:rsidRDefault="00194E35" w:rsidP="00DB01CB">
            <w:pPr>
              <w:spacing w:after="0" w:line="240" w:lineRule="auto"/>
              <w:jc w:val="center"/>
              <w:rPr>
                <w:rFonts w:ascii="Times New Roman" w:eastAsia="Times New Roman" w:hAnsi="Times New Roman" w:cs="Times New Roman"/>
                <w:lang w:eastAsia="ru-RU"/>
              </w:rPr>
            </w:pPr>
          </w:p>
        </w:tc>
        <w:tc>
          <w:tcPr>
            <w:tcW w:w="740" w:type="dxa"/>
            <w:shd w:val="clear" w:color="auto" w:fill="FFFFCC"/>
          </w:tcPr>
          <w:p w:rsidR="00194E35" w:rsidRPr="00AF1719" w:rsidRDefault="00194E35" w:rsidP="00DB01CB">
            <w:pPr>
              <w:spacing w:after="0" w:line="240" w:lineRule="auto"/>
              <w:jc w:val="center"/>
              <w:rPr>
                <w:rFonts w:ascii="Times New Roman" w:eastAsia="Times New Roman" w:hAnsi="Times New Roman" w:cs="Times New Roman"/>
                <w:lang w:eastAsia="ru-RU"/>
              </w:rPr>
            </w:pPr>
          </w:p>
        </w:tc>
        <w:tc>
          <w:tcPr>
            <w:tcW w:w="1184" w:type="dxa"/>
            <w:shd w:val="clear" w:color="auto" w:fill="FFFFCC"/>
          </w:tcPr>
          <w:p w:rsidR="00194E35" w:rsidRPr="00AF1719" w:rsidRDefault="00194E35" w:rsidP="00DB01CB">
            <w:pPr>
              <w:spacing w:after="0" w:line="240" w:lineRule="auto"/>
              <w:jc w:val="center"/>
              <w:rPr>
                <w:rFonts w:ascii="Times New Roman" w:eastAsia="Times New Roman" w:hAnsi="Times New Roman" w:cs="Times New Roman"/>
                <w:lang w:eastAsia="ru-RU"/>
              </w:rPr>
            </w:pPr>
          </w:p>
        </w:tc>
        <w:tc>
          <w:tcPr>
            <w:tcW w:w="1139" w:type="dxa"/>
            <w:shd w:val="clear" w:color="auto" w:fill="FFFFCC"/>
          </w:tcPr>
          <w:p w:rsidR="00194E35" w:rsidRPr="00AF1719" w:rsidRDefault="00194E35" w:rsidP="00DB01CB">
            <w:pPr>
              <w:spacing w:after="0" w:line="240" w:lineRule="auto"/>
              <w:jc w:val="center"/>
              <w:rPr>
                <w:rFonts w:ascii="Times New Roman" w:eastAsia="Times New Roman" w:hAnsi="Times New Roman" w:cs="Times New Roman"/>
                <w:lang w:eastAsia="ru-RU"/>
              </w:rPr>
            </w:pPr>
          </w:p>
        </w:tc>
      </w:tr>
    </w:tbl>
    <w:p w:rsidR="00194E35" w:rsidRPr="00B64A5E" w:rsidRDefault="00194E35" w:rsidP="00194E35">
      <w:pPr>
        <w:widowControl w:val="0"/>
        <w:spacing w:after="0"/>
        <w:ind w:firstLine="709"/>
        <w:contextualSpacing/>
        <w:rPr>
          <w:rFonts w:ascii="Times New Roman" w:eastAsia="Times New Roman" w:hAnsi="Times New Roman" w:cs="Times New Roman"/>
          <w:b/>
          <w:sz w:val="28"/>
          <w:szCs w:val="28"/>
        </w:rPr>
      </w:pPr>
      <w:r w:rsidRPr="00B64A5E">
        <w:rPr>
          <w:rFonts w:ascii="Times New Roman" w:eastAsia="Times New Roman" w:hAnsi="Times New Roman" w:cs="Times New Roman"/>
          <w:i/>
          <w:sz w:val="28"/>
          <w:szCs w:val="28"/>
        </w:rPr>
        <w:t>*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194E35" w:rsidRPr="00B64A5E" w:rsidRDefault="00194E35" w:rsidP="00194E35">
      <w:pPr>
        <w:rPr>
          <w:rFonts w:ascii="Times New Roman" w:eastAsia="Times New Roman" w:hAnsi="Times New Roman" w:cs="Times New Roman"/>
          <w:b/>
          <w:sz w:val="28"/>
          <w:szCs w:val="28"/>
        </w:rPr>
      </w:pPr>
    </w:p>
    <w:p w:rsidR="00194E35" w:rsidRDefault="00194E35" w:rsidP="00194E35">
      <w:pPr>
        <w:rPr>
          <w:rFonts w:ascii="Times New Roman" w:hAnsi="Times New Roman" w:cs="Times New Roman"/>
          <w:b/>
          <w:sz w:val="28"/>
          <w:szCs w:val="28"/>
        </w:rPr>
      </w:pPr>
    </w:p>
    <w:p w:rsidR="00194E35" w:rsidRDefault="00194E35" w:rsidP="00194E35">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7C6" w:rsidRDefault="00BB37C6">
      <w:pPr>
        <w:spacing w:after="0" w:line="240" w:lineRule="auto"/>
      </w:pPr>
      <w:r>
        <w:separator/>
      </w:r>
    </w:p>
  </w:endnote>
  <w:endnote w:type="continuationSeparator" w:id="0">
    <w:p w:rsidR="00BB37C6" w:rsidRDefault="00BB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EF002A" w:rsidRDefault="00EF002A">
    <w:pPr>
      <w:pStyle w:val="ab"/>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EF002A">
    <w:pPr>
      <w:pStyle w:val="ab"/>
      <w:jc w:val="right"/>
    </w:pPr>
    <w:r>
      <w:rPr>
        <w:noProof/>
        <w:lang w:eastAsia="ru-RU"/>
      </w:rPr>
      <w:drawing>
        <wp:inline distT="0" distB="0" distL="0" distR="0">
          <wp:extent cx="1085850" cy="3524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F002A">
          <w:rPr>
            <w:noProof/>
          </w:rPr>
          <w:t>1</w:t>
        </w:r>
        <w:r>
          <w:fldChar w:fldCharType="end"/>
        </w:r>
      </w:p>
    </w:sdtContent>
  </w:sdt>
  <w:p w:rsidR="00F52E6A" w:rsidRDefault="00F52E6A">
    <w:pPr>
      <w:pStyle w:val="ab"/>
    </w:pP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F52E6A" w:rsidRDefault="00EF002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EF002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94E35">
          <w:rPr>
            <w:noProof/>
          </w:rPr>
          <w:t>2</w:t>
        </w:r>
        <w:r w:rsidR="004725AB">
          <w:fldChar w:fldCharType="end"/>
        </w:r>
      </w:sdtContent>
    </w:sdt>
  </w:p>
  <w:p w:rsidR="004725AB" w:rsidRDefault="004725AB" w:rsidP="00C645BD">
    <w:pPr>
      <w:pStyle w:val="ab"/>
    </w:pPr>
  </w:p>
</w:ftr>
</file>

<file path=word/footer5.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Default="00EF002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94E3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7C6" w:rsidRDefault="00BB37C6">
      <w:pPr>
        <w:spacing w:after="0" w:line="240" w:lineRule="auto"/>
      </w:pPr>
      <w:r>
        <w:separator/>
      </w:r>
    </w:p>
  </w:footnote>
  <w:footnote w:type="continuationSeparator" w:id="0">
    <w:p w:rsidR="00BB37C6" w:rsidRDefault="00BB37C6">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EF002A" w:rsidRDefault="00EF002A">
    <w:pPr>
      <w:pStyle w:val="a4"/>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EF002A" w:rsidRDefault="00EF002A">
    <w:pPr>
      <w:pStyle w:val="a4"/>
    </w:pP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EF002A" w:rsidRDefault="00EF002A">
    <w:pPr>
      <w:pStyle w:val="a4"/>
    </w:pPr>
  </w:p>
</w:hdr>
</file>

<file path=word/header4.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35167" w:rsidRPr="006B0C1A" w:rsidRDefault="00435167" w:rsidP="006B0C1A">
    <w:pPr>
      <w:pStyle w:val="a4"/>
    </w:pPr>
  </w:p>
</w:hdr>
</file>

<file path=word/header5.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4725AB" w:rsidRPr="006B0C1A" w:rsidRDefault="004725AB" w:rsidP="006B0C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2746"/>
    <w:rsid w:val="0016689A"/>
    <w:rsid w:val="00170252"/>
    <w:rsid w:val="00171C2D"/>
    <w:rsid w:val="00180633"/>
    <w:rsid w:val="00182395"/>
    <w:rsid w:val="00185B41"/>
    <w:rsid w:val="0019152C"/>
    <w:rsid w:val="00192794"/>
    <w:rsid w:val="00194E35"/>
    <w:rsid w:val="00195CA6"/>
    <w:rsid w:val="001B53BC"/>
    <w:rsid w:val="001B64CA"/>
    <w:rsid w:val="001C3568"/>
    <w:rsid w:val="001C3FE4"/>
    <w:rsid w:val="001E2F36"/>
    <w:rsid w:val="001F4949"/>
    <w:rsid w:val="001F575C"/>
    <w:rsid w:val="00204D4E"/>
    <w:rsid w:val="0021224E"/>
    <w:rsid w:val="00213BCE"/>
    <w:rsid w:val="002163C8"/>
    <w:rsid w:val="00221C8B"/>
    <w:rsid w:val="00225BCF"/>
    <w:rsid w:val="002329D0"/>
    <w:rsid w:val="002420F4"/>
    <w:rsid w:val="00251D64"/>
    <w:rsid w:val="00255BA3"/>
    <w:rsid w:val="002602CF"/>
    <w:rsid w:val="00262242"/>
    <w:rsid w:val="0027397C"/>
    <w:rsid w:val="0027696D"/>
    <w:rsid w:val="002824B6"/>
    <w:rsid w:val="002868D2"/>
    <w:rsid w:val="002920B0"/>
    <w:rsid w:val="002A048E"/>
    <w:rsid w:val="002A1986"/>
    <w:rsid w:val="002A657B"/>
    <w:rsid w:val="002B12E3"/>
    <w:rsid w:val="002C2CE3"/>
    <w:rsid w:val="002C473B"/>
    <w:rsid w:val="002D10A6"/>
    <w:rsid w:val="002D21DE"/>
    <w:rsid w:val="002E6D4A"/>
    <w:rsid w:val="002F1377"/>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4C65"/>
    <w:rsid w:val="003E0EB5"/>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A5FF8"/>
    <w:rsid w:val="00BB195D"/>
    <w:rsid w:val="00BB37C6"/>
    <w:rsid w:val="00BC0D28"/>
    <w:rsid w:val="00BE3F70"/>
    <w:rsid w:val="00BE4CB3"/>
    <w:rsid w:val="00BF2771"/>
    <w:rsid w:val="00C1195F"/>
    <w:rsid w:val="00C134B9"/>
    <w:rsid w:val="00C22E6F"/>
    <w:rsid w:val="00C35CC7"/>
    <w:rsid w:val="00C368D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02A"/>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695A639-E322-4E51-856A-4C9B34E5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9A5E3-3903-4024-A884-B145214A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1188</Words>
  <Characters>6774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Филатова Валерия Валерьевна</dc:creator>
  <cp:lastModifiedBy>Елена В.. Иванова</cp:lastModifiedBy>
  <cp:revision>2</cp:revision>
  <cp:lastPrinted>2018-01-19T15:25:00Z</cp:lastPrinted>
  <dcterms:created xsi:type="dcterms:W3CDTF">2023-11-28T06:10:00Z</dcterms:created>
  <dcterms:modified xsi:type="dcterms:W3CDTF">2023-11-28T06:10:00Z</dcterms:modified>
</cp:coreProperties>
</file>