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05-07/1979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3C68C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 для отделения лабораторной диагностики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737" w:type="dxa"/>
        <w:tblInd w:w="108" w:type="dxa"/>
        <w:tblLook w:val="04A0" w:firstRow="1" w:lastRow="0" w:firstColumn="1" w:lastColumn="0" w:noHBand="0" w:noVBand="1"/>
      </w:tblPr>
      <w:tblGrid>
        <w:gridCol w:w="474"/>
        <w:gridCol w:w="1421"/>
        <w:gridCol w:w="1266"/>
        <w:gridCol w:w="1542"/>
        <w:gridCol w:w="2222"/>
        <w:gridCol w:w="1080"/>
        <w:gridCol w:w="1562"/>
        <w:gridCol w:w="598"/>
        <w:gridCol w:w="1212"/>
        <w:gridCol w:w="1480"/>
        <w:gridCol w:w="960"/>
        <w:gridCol w:w="960"/>
        <w:gridCol w:w="960"/>
      </w:tblGrid>
      <w:tr w:rsidR="00722F2C" w:rsidRPr="00722F2C" w:rsidTr="00722F2C">
        <w:trPr>
          <w:trHeight w:val="402"/>
        </w:trPr>
        <w:tc>
          <w:tcPr>
            <w:tcW w:w="47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 п/п</w:t>
            </w:r>
          </w:p>
        </w:tc>
        <w:tc>
          <w:tcPr>
            <w:tcW w:w="1421"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Наименование товара, работы, услуги</w:t>
            </w:r>
          </w:p>
        </w:tc>
        <w:tc>
          <w:tcPr>
            <w:tcW w:w="1266"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Код ОКПД 2/КТРУ</w:t>
            </w:r>
          </w:p>
        </w:tc>
        <w:tc>
          <w:tcPr>
            <w:tcW w:w="1542"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Наименование характеристики</w:t>
            </w:r>
          </w:p>
        </w:tc>
        <w:tc>
          <w:tcPr>
            <w:tcW w:w="2222"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Значение характеристики</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Единица измерения</w:t>
            </w:r>
          </w:p>
        </w:tc>
        <w:tc>
          <w:tcPr>
            <w:tcW w:w="1562"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Инструкция по заполнению</w:t>
            </w:r>
          </w:p>
        </w:tc>
        <w:tc>
          <w:tcPr>
            <w:tcW w:w="598"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 xml:space="preserve">Кол-во </w:t>
            </w:r>
          </w:p>
        </w:tc>
        <w:tc>
          <w:tcPr>
            <w:tcW w:w="1212"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Единица измерения (количество товара, объем работы, услуги по ОКЕИ)</w:t>
            </w:r>
          </w:p>
        </w:tc>
        <w:tc>
          <w:tcPr>
            <w:tcW w:w="1480"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Страна происхождения Товара</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Ставка НДС%</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Цена за ед. без НДС</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b/>
                <w:bCs/>
                <w:color w:val="000000"/>
                <w:sz w:val="18"/>
                <w:szCs w:val="18"/>
                <w:lang w:eastAsia="ru-RU"/>
              </w:rPr>
            </w:pPr>
            <w:r w:rsidRPr="00722F2C">
              <w:rPr>
                <w:rFonts w:ascii="Times New Roman" w:eastAsia="Times New Roman" w:hAnsi="Times New Roman" w:cs="Times New Roman"/>
                <w:b/>
                <w:bCs/>
                <w:color w:val="000000"/>
                <w:sz w:val="18"/>
                <w:szCs w:val="18"/>
                <w:lang w:eastAsia="ru-RU"/>
              </w:rPr>
              <w:t>Сумма без НДС</w:t>
            </w:r>
          </w:p>
        </w:tc>
      </w:tr>
      <w:tr w:rsidR="00722F2C" w:rsidRPr="00722F2C" w:rsidTr="00722F2C">
        <w:trPr>
          <w:trHeight w:val="402"/>
        </w:trPr>
        <w:tc>
          <w:tcPr>
            <w:tcW w:w="474"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1</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Промывающая жидкость для ICT модуля</w:t>
            </w:r>
          </w:p>
        </w:tc>
        <w:tc>
          <w:tcPr>
            <w:tcW w:w="1266"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21.20.23.110</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1</w:t>
            </w:r>
          </w:p>
        </w:tc>
        <w:tc>
          <w:tcPr>
            <w:tcW w:w="121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Предназначена для промывки электролитов при использовании интегрированной чиповой технологии на системе Architect.</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tcBorders>
              <w:top w:val="nil"/>
              <w:left w:val="nil"/>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Не менее 10х12 мл</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 с  автоматическим биохимическим анализатором Architect c8000/4000.имеющимся у заказчика, не вызывает сбоев в работе анализатора, не снижает достоверность результатов исследований</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Промывающий буфер</w:t>
            </w:r>
          </w:p>
        </w:tc>
        <w:tc>
          <w:tcPr>
            <w:tcW w:w="1266"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21.20.23.110</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10</w:t>
            </w:r>
          </w:p>
        </w:tc>
        <w:tc>
          <w:tcPr>
            <w:tcW w:w="121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Промывающий буфер представляет собой солевой раствор фосфатного буфера. Консерванты: антимикробные агенты. Предназначен для промывки рабочих емкостей, ячеек и соединительных трубок анализатора.</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Для анализаторов серии ARCHITECT</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tcBorders>
              <w:top w:val="nil"/>
              <w:left w:val="nil"/>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Не менее 4х975 мл</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3</w:t>
            </w:r>
          </w:p>
        </w:tc>
        <w:tc>
          <w:tcPr>
            <w:tcW w:w="1421"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Раствор Пре-триггера</w:t>
            </w: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21.20.23.110</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Раствор Пре-триггера - раствор для иммунохимического анализатора. Предназначен для отщепления акридиновой метки от комплекса антиген-антитело.</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4</w:t>
            </w:r>
          </w:p>
        </w:tc>
        <w:tc>
          <w:tcPr>
            <w:tcW w:w="1212"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Для анализаторов серии ARСHITECT </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Не менее 4х975 мл</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4</w:t>
            </w:r>
          </w:p>
        </w:tc>
        <w:tc>
          <w:tcPr>
            <w:tcW w:w="1421"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Раствор Триггера</w:t>
            </w:r>
          </w:p>
        </w:tc>
        <w:tc>
          <w:tcPr>
            <w:tcW w:w="1266"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21.20.23.110</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Раствор Триггера - раствор для иммунохимического анализатора. Предназначен для инициации реакции хемилюминесценции молекулой акридиниума.</w:t>
            </w:r>
            <w:r w:rsidRPr="00722F2C">
              <w:rPr>
                <w:rFonts w:ascii="Times New Roman" w:eastAsia="Times New Roman" w:hAnsi="Times New Roman" w:cs="Times New Roman"/>
                <w:color w:val="000000"/>
                <w:sz w:val="18"/>
                <w:szCs w:val="18"/>
                <w:lang w:eastAsia="ru-RU"/>
              </w:rPr>
              <w:t xml:space="preserve"> </w:t>
            </w:r>
            <w:r w:rsidRPr="00722F2C">
              <w:rPr>
                <w:rFonts w:ascii="Times New Roman" w:eastAsia="Times New Roman" w:hAnsi="Times New Roman" w:cs="Times New Roman"/>
                <w:color w:val="000000"/>
                <w:sz w:val="18"/>
                <w:szCs w:val="18"/>
                <w:u w:val="single"/>
                <w:lang w:eastAsia="ru-RU"/>
              </w:rPr>
              <w:t>Предназначен для инициации реакции хемилюминесценции молекулой акридиниума</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4</w:t>
            </w:r>
          </w:p>
        </w:tc>
        <w:tc>
          <w:tcPr>
            <w:tcW w:w="12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single" w:sz="8" w:space="0" w:color="000000"/>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single" w:sz="8" w:space="0" w:color="000000"/>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single" w:sz="8" w:space="0" w:color="000000"/>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single" w:sz="8" w:space="0" w:color="000000"/>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Для анализаторов серии ARCHITECT</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Не менее 4х975 мл    </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5</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Реагент для ухода за зондом</w:t>
            </w: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21.20.23.110</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1</w:t>
            </w:r>
          </w:p>
        </w:tc>
        <w:tc>
          <w:tcPr>
            <w:tcW w:w="121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Медицинское изделие используется при проведении ежедневной процедуры техобслуживания дозирующей иглы пипетора </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Для анализаторов серии ARCHITECT</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не менее 4х25мл</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 с автоматическим иммунохимическим анализатором ARCHITECT i2000 имеющимся у заказчика, не вызывает сбоев в работе анализатора, не снижает достоверность результатов исследований.Требование к объему гарантии качества:</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6</w:t>
            </w:r>
          </w:p>
        </w:tc>
        <w:tc>
          <w:tcPr>
            <w:tcW w:w="1421"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Референсный раствор для ICT модуля</w:t>
            </w:r>
          </w:p>
        </w:tc>
        <w:tc>
          <w:tcPr>
            <w:tcW w:w="1266"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21.20.23.110</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Референсный раствор для количественного определения натрия, калия и хлорида в сыворотке и плазме крови или моче человека.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1</w:t>
            </w:r>
          </w:p>
        </w:tc>
        <w:tc>
          <w:tcPr>
            <w:tcW w:w="1212" w:type="dxa"/>
            <w:vMerge w:val="restart"/>
            <w:tcBorders>
              <w:top w:val="nil"/>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nil"/>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не менее 2х2 л</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 </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7</w:t>
            </w:r>
          </w:p>
        </w:tc>
        <w:tc>
          <w:tcPr>
            <w:tcW w:w="1421"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Кислотный промывающий раствор</w:t>
            </w:r>
          </w:p>
        </w:tc>
        <w:tc>
          <w:tcPr>
            <w:tcW w:w="1266"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xml:space="preserve">21.20.23.110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Назначение</w:t>
            </w: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1</w:t>
            </w:r>
          </w:p>
        </w:tc>
        <w:tc>
          <w:tcPr>
            <w:tcW w:w="1212"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упак</w:t>
            </w:r>
          </w:p>
        </w:tc>
        <w:tc>
          <w:tcPr>
            <w:tcW w:w="1480" w:type="dxa"/>
            <w:vMerge w:val="restart"/>
            <w:tcBorders>
              <w:top w:val="single" w:sz="8" w:space="0" w:color="000000"/>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single" w:sz="8" w:space="0" w:color="000000"/>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single" w:sz="8" w:space="0" w:color="000000"/>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c>
          <w:tcPr>
            <w:tcW w:w="960" w:type="dxa"/>
            <w:vMerge w:val="restart"/>
            <w:tcBorders>
              <w:top w:val="single" w:sz="8" w:space="0" w:color="000000"/>
              <w:left w:val="single" w:sz="8" w:space="0" w:color="auto"/>
              <w:bottom w:val="nil"/>
              <w:right w:val="single" w:sz="8" w:space="0" w:color="auto"/>
            </w:tcBorders>
            <w:shd w:val="clear" w:color="auto" w:fill="auto"/>
            <w:noWrap/>
            <w:vAlign w:val="center"/>
            <w:hideMark/>
          </w:tcPr>
          <w:p w:rsidR="00722F2C" w:rsidRPr="00722F2C" w:rsidRDefault="00722F2C" w:rsidP="00722F2C">
            <w:pPr>
              <w:spacing w:after="0" w:line="240" w:lineRule="auto"/>
              <w:jc w:val="center"/>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 </w:t>
            </w: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Раствор, предназначен для автоматической промывки кварцевых кювет системы </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Для анализаторов серии ARCHITECT i</w:t>
            </w: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p>
        </w:tc>
        <w:tc>
          <w:tcPr>
            <w:tcW w:w="598"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Фасовка</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не менее 2х500мл</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Участник закупки указывает в заявке конкретное значение характеристики</w:t>
            </w:r>
          </w:p>
        </w:tc>
        <w:tc>
          <w:tcPr>
            <w:tcW w:w="598"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Совместимость</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xml:space="preserve">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 </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 </w:t>
            </w:r>
          </w:p>
        </w:tc>
        <w:tc>
          <w:tcPr>
            <w:tcW w:w="156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u w:val="single"/>
                <w:lang w:eastAsia="ru-RU"/>
              </w:rPr>
            </w:pPr>
            <w:r w:rsidRPr="00722F2C">
              <w:rPr>
                <w:rFonts w:ascii="Times New Roman" w:eastAsia="Times New Roman" w:hAnsi="Times New Roman" w:cs="Times New Roman"/>
                <w:color w:val="000000"/>
                <w:sz w:val="18"/>
                <w:szCs w:val="18"/>
                <w:u w:val="single"/>
                <w:lang w:eastAsia="ru-RU"/>
              </w:rPr>
              <w:t>Значение характеристики не может изменяться участником закупки</w:t>
            </w:r>
          </w:p>
        </w:tc>
        <w:tc>
          <w:tcPr>
            <w:tcW w:w="598"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8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single" w:sz="8" w:space="0" w:color="000000"/>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r>
      <w:tr w:rsidR="00722F2C" w:rsidRPr="00722F2C" w:rsidTr="00722F2C">
        <w:trPr>
          <w:trHeight w:val="402"/>
        </w:trPr>
        <w:tc>
          <w:tcPr>
            <w:tcW w:w="474"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18"/>
                <w:szCs w:val="18"/>
                <w:lang w:eastAsia="ru-RU"/>
              </w:rPr>
            </w:pPr>
            <w:r w:rsidRPr="00722F2C">
              <w:rPr>
                <w:rFonts w:ascii="Times New Roman" w:eastAsia="Times New Roman" w:hAnsi="Times New Roman" w:cs="Times New Roman"/>
                <w:color w:val="000000"/>
                <w:sz w:val="18"/>
                <w:szCs w:val="18"/>
                <w:lang w:eastAsia="ru-RU"/>
              </w:rPr>
              <w:t>8</w:t>
            </w:r>
          </w:p>
        </w:tc>
        <w:tc>
          <w:tcPr>
            <w:tcW w:w="1421"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Детергент A</w:t>
            </w:r>
          </w:p>
        </w:tc>
        <w:tc>
          <w:tcPr>
            <w:tcW w:w="1266"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 xml:space="preserve">21.20.23.110 </w:t>
            </w:r>
          </w:p>
        </w:tc>
        <w:tc>
          <w:tcPr>
            <w:tcW w:w="154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Назначение</w:t>
            </w:r>
          </w:p>
        </w:tc>
        <w:tc>
          <w:tcPr>
            <w:tcW w:w="222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Раствор предназначен для очистки системы Architect c8000/4000.</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w:t>
            </w:r>
          </w:p>
        </w:tc>
        <w:tc>
          <w:tcPr>
            <w:tcW w:w="1562" w:type="dxa"/>
            <w:vMerge w:val="restart"/>
            <w:tcBorders>
              <w:top w:val="nil"/>
              <w:left w:val="single" w:sz="8" w:space="0" w:color="auto"/>
              <w:bottom w:val="single" w:sz="8" w:space="0" w:color="000000"/>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598" w:type="dxa"/>
            <w:vMerge w:val="restart"/>
            <w:tcBorders>
              <w:top w:val="single" w:sz="8" w:space="0" w:color="auto"/>
              <w:left w:val="nil"/>
              <w:bottom w:val="nil"/>
              <w:right w:val="single" w:sz="8" w:space="0" w:color="auto"/>
            </w:tcBorders>
            <w:shd w:val="clear" w:color="auto" w:fill="auto"/>
            <w:vAlign w:val="center"/>
            <w:hideMark/>
          </w:tcPr>
          <w:p w:rsidR="00722F2C" w:rsidRPr="00722F2C" w:rsidRDefault="00722F2C" w:rsidP="00722F2C">
            <w:pPr>
              <w:spacing w:after="0" w:line="240" w:lineRule="auto"/>
              <w:jc w:val="right"/>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1</w:t>
            </w:r>
          </w:p>
        </w:tc>
        <w:tc>
          <w:tcPr>
            <w:tcW w:w="1212"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упак</w:t>
            </w:r>
          </w:p>
        </w:tc>
        <w:tc>
          <w:tcPr>
            <w:tcW w:w="1480"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 </w:t>
            </w:r>
          </w:p>
        </w:tc>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 </w:t>
            </w:r>
          </w:p>
        </w:tc>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 </w:t>
            </w:r>
          </w:p>
        </w:tc>
        <w:tc>
          <w:tcPr>
            <w:tcW w:w="960" w:type="dxa"/>
            <w:vMerge w:val="restart"/>
            <w:tcBorders>
              <w:top w:val="single" w:sz="8" w:space="0" w:color="auto"/>
              <w:left w:val="single" w:sz="8" w:space="0" w:color="auto"/>
              <w:bottom w:val="nil"/>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r w:rsidRPr="00722F2C">
              <w:rPr>
                <w:rFonts w:ascii="Times New Roman" w:eastAsia="Times New Roman" w:hAnsi="Times New Roman" w:cs="Times New Roman"/>
                <w:color w:val="000000"/>
                <w:sz w:val="20"/>
                <w:szCs w:val="20"/>
                <w:lang w:eastAsia="ru-RU"/>
              </w:rPr>
              <w:t> </w:t>
            </w: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54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p>
        </w:tc>
        <w:tc>
          <w:tcPr>
            <w:tcW w:w="222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p>
        </w:tc>
        <w:tc>
          <w:tcPr>
            <w:tcW w:w="1080"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p>
        </w:tc>
        <w:tc>
          <w:tcPr>
            <w:tcW w:w="1562" w:type="dxa"/>
            <w:vMerge/>
            <w:tcBorders>
              <w:top w:val="nil"/>
              <w:left w:val="single" w:sz="8" w:space="0" w:color="auto"/>
              <w:bottom w:val="single" w:sz="8" w:space="0" w:color="000000"/>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p>
        </w:tc>
        <w:tc>
          <w:tcPr>
            <w:tcW w:w="598" w:type="dxa"/>
            <w:vMerge/>
            <w:tcBorders>
              <w:top w:val="single" w:sz="8" w:space="0" w:color="auto"/>
              <w:left w:val="nil"/>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48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фасовка</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не менее 2x500 мл</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w:t>
            </w:r>
          </w:p>
        </w:tc>
        <w:tc>
          <w:tcPr>
            <w:tcW w:w="1562" w:type="dxa"/>
            <w:tcBorders>
              <w:top w:val="nil"/>
              <w:left w:val="nil"/>
              <w:bottom w:val="single" w:sz="8" w:space="0" w:color="auto"/>
              <w:right w:val="nil"/>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Участник закупки указывает в заявке конкретное значение характеристики</w:t>
            </w:r>
          </w:p>
        </w:tc>
        <w:tc>
          <w:tcPr>
            <w:tcW w:w="598" w:type="dxa"/>
            <w:vMerge/>
            <w:tcBorders>
              <w:top w:val="single" w:sz="8" w:space="0" w:color="auto"/>
              <w:left w:val="nil"/>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48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r>
      <w:tr w:rsidR="00722F2C" w:rsidRPr="00722F2C" w:rsidTr="00722F2C">
        <w:trPr>
          <w:trHeight w:val="402"/>
        </w:trPr>
        <w:tc>
          <w:tcPr>
            <w:tcW w:w="474"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18"/>
                <w:szCs w:val="18"/>
                <w:lang w:eastAsia="ru-RU"/>
              </w:rPr>
            </w:pPr>
          </w:p>
        </w:tc>
        <w:tc>
          <w:tcPr>
            <w:tcW w:w="1421"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266"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54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Совместимость</w:t>
            </w:r>
          </w:p>
        </w:tc>
        <w:tc>
          <w:tcPr>
            <w:tcW w:w="2222"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Совместим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результатов исследований</w:t>
            </w:r>
          </w:p>
        </w:tc>
        <w:tc>
          <w:tcPr>
            <w:tcW w:w="1080" w:type="dxa"/>
            <w:tcBorders>
              <w:top w:val="nil"/>
              <w:left w:val="nil"/>
              <w:bottom w:val="single" w:sz="8" w:space="0" w:color="auto"/>
              <w:right w:val="single" w:sz="8" w:space="0" w:color="auto"/>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w:t>
            </w:r>
          </w:p>
        </w:tc>
        <w:tc>
          <w:tcPr>
            <w:tcW w:w="1562" w:type="dxa"/>
            <w:tcBorders>
              <w:top w:val="nil"/>
              <w:left w:val="nil"/>
              <w:bottom w:val="single" w:sz="8" w:space="0" w:color="auto"/>
              <w:right w:val="nil"/>
            </w:tcBorders>
            <w:shd w:val="clear" w:color="auto" w:fill="auto"/>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u w:val="single"/>
                <w:lang w:eastAsia="ru-RU"/>
              </w:rPr>
            </w:pPr>
            <w:r w:rsidRPr="00722F2C">
              <w:rPr>
                <w:rFonts w:ascii="Times New Roman" w:eastAsia="Times New Roman" w:hAnsi="Times New Roman" w:cs="Times New Roman"/>
                <w:color w:val="000000"/>
                <w:sz w:val="20"/>
                <w:szCs w:val="20"/>
                <w:u w:val="single"/>
                <w:lang w:eastAsia="ru-RU"/>
              </w:rPr>
              <w:t>Значение характеристики не может изменяться участником закупки</w:t>
            </w:r>
          </w:p>
        </w:tc>
        <w:tc>
          <w:tcPr>
            <w:tcW w:w="598" w:type="dxa"/>
            <w:vMerge/>
            <w:tcBorders>
              <w:top w:val="single" w:sz="8" w:space="0" w:color="auto"/>
              <w:left w:val="nil"/>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212"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148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c>
          <w:tcPr>
            <w:tcW w:w="960" w:type="dxa"/>
            <w:vMerge/>
            <w:tcBorders>
              <w:top w:val="single" w:sz="8" w:space="0" w:color="auto"/>
              <w:left w:val="single" w:sz="8" w:space="0" w:color="auto"/>
              <w:bottom w:val="nil"/>
              <w:right w:val="single" w:sz="8" w:space="0" w:color="auto"/>
            </w:tcBorders>
            <w:vAlign w:val="center"/>
            <w:hideMark/>
          </w:tcPr>
          <w:p w:rsidR="00722F2C" w:rsidRPr="00722F2C" w:rsidRDefault="00722F2C" w:rsidP="00722F2C">
            <w:pPr>
              <w:spacing w:after="0" w:line="240" w:lineRule="auto"/>
              <w:rPr>
                <w:rFonts w:ascii="Times New Roman" w:eastAsia="Times New Roman" w:hAnsi="Times New Roman" w:cs="Times New Roman"/>
                <w:color w:val="000000"/>
                <w:sz w:val="20"/>
                <w:szCs w:val="20"/>
                <w:lang w:eastAsia="ru-RU"/>
              </w:rPr>
            </w:pPr>
          </w:p>
        </w:tc>
      </w:tr>
    </w:tbl>
    <w:p w:rsidR="00722F2C"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Требовани</w:t>
      </w:r>
      <w:r>
        <w:rPr>
          <w:rFonts w:ascii="Times New Roman" w:eastAsia="Times New Roman" w:hAnsi="Times New Roman" w:cs="Times New Roman"/>
          <w:b/>
          <w:bCs/>
          <w:i/>
          <w:color w:val="000000"/>
          <w:lang w:eastAsia="ru-RU"/>
        </w:rPr>
        <w:t>я к исполнению контракта в части исключения рисков претензий правообладателей к Заказчику по всем Товарам</w:t>
      </w:r>
      <w:r w:rsidRPr="006D1D70">
        <w:rPr>
          <w:rFonts w:ascii="Times New Roman" w:eastAsia="Times New Roman" w:hAnsi="Times New Roman" w:cs="Times New Roman"/>
          <w:b/>
          <w:bCs/>
          <w:i/>
          <w:color w:val="000000"/>
          <w:lang w:eastAsia="ru-RU"/>
        </w:rPr>
        <w:t>:</w:t>
      </w:r>
    </w:p>
    <w:p w:rsidR="00722F2C" w:rsidRPr="006D1D70"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Pr>
          <w:rFonts w:ascii="Times New Roman" w:eastAsia="Times New Roman" w:hAnsi="Times New Roman" w:cs="Times New Roman"/>
          <w:b/>
          <w:bCs/>
          <w:i/>
          <w:color w:val="000000"/>
          <w:lang w:eastAsia="ru-RU"/>
        </w:rPr>
        <w:t xml:space="preserve"> </w:t>
      </w:r>
      <w:r w:rsidRPr="006D1D70">
        <w:rPr>
          <w:rFonts w:ascii="Times New Roman" w:eastAsia="Times New Roman" w:hAnsi="Times New Roman" w:cs="Times New Roman"/>
          <w:b/>
          <w:bCs/>
          <w:i/>
          <w:color w:val="000000"/>
          <w:lang w:eastAsia="ru-RU"/>
        </w:rPr>
        <w:t>Наличие письменного согласия правообладателя товарного знака поставляемого товара на его использование Поставщиком на территории Российской Федерации, включая реализацию медицинских изделий, с указанием:</w:t>
      </w:r>
    </w:p>
    <w:p w:rsidR="00722F2C" w:rsidRPr="006D1D70"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•наименования и реквизитов правообладателя;</w:t>
      </w:r>
    </w:p>
    <w:p w:rsidR="00722F2C" w:rsidRPr="006D1D70"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•наименования и реквизитов Поставщика;</w:t>
      </w:r>
    </w:p>
    <w:p w:rsidR="00722F2C" w:rsidRPr="006D1D70"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•перечня товаров, на которые распространяется согласие;</w:t>
      </w:r>
    </w:p>
    <w:p w:rsidR="00722F2C" w:rsidRPr="006D1D70"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•территории, на которой допускается использование товарного знака;</w:t>
      </w:r>
    </w:p>
    <w:p w:rsidR="00722F2C" w:rsidRDefault="00722F2C" w:rsidP="00722F2C">
      <w:pPr>
        <w:autoSpaceDE w:val="0"/>
        <w:autoSpaceDN w:val="0"/>
        <w:adjustRightInd w:val="0"/>
        <w:spacing w:after="0" w:line="240" w:lineRule="auto"/>
        <w:jc w:val="both"/>
        <w:rPr>
          <w:rFonts w:ascii="Times New Roman" w:eastAsia="Times New Roman" w:hAnsi="Times New Roman" w:cs="Times New Roman"/>
          <w:b/>
          <w:bCs/>
          <w:i/>
          <w:color w:val="000000"/>
          <w:lang w:eastAsia="ru-RU"/>
        </w:rPr>
      </w:pPr>
      <w:r w:rsidRPr="006D1D70">
        <w:rPr>
          <w:rFonts w:ascii="Times New Roman" w:eastAsia="Times New Roman" w:hAnsi="Times New Roman" w:cs="Times New Roman"/>
          <w:b/>
          <w:bCs/>
          <w:i/>
          <w:color w:val="000000"/>
          <w:lang w:eastAsia="ru-RU"/>
        </w:rPr>
        <w:t>•срока действия согласия.</w:t>
      </w:r>
    </w:p>
    <w:p w:rsidR="00170252" w:rsidRDefault="00170252" w:rsidP="000820E3">
      <w:pPr>
        <w:rPr>
          <w:rFonts w:ascii="Times New Roman" w:hAnsi="Times New Roman" w:cs="Times New Roman"/>
          <w:b/>
          <w:sz w:val="28"/>
          <w:szCs w:val="28"/>
        </w:rPr>
      </w:pPr>
    </w:p>
    <w:sectPr w:rsidR="00170252" w:rsidSect="00722F2C">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F07" w:rsidRDefault="00845F07">
      <w:pPr>
        <w:spacing w:after="0" w:line="240" w:lineRule="auto"/>
      </w:pPr>
      <w:r>
        <w:separator/>
      </w:r>
    </w:p>
  </w:endnote>
  <w:endnote w:type="continuationSeparator" w:id="0">
    <w:p w:rsidR="00845F07" w:rsidRDefault="0084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C68CE" w:rsidRDefault="003C68C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C68CE">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3C68CE">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3C68CE">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C68CE">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3C68CE">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22F2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F07" w:rsidRDefault="00845F07">
      <w:pPr>
        <w:spacing w:after="0" w:line="240" w:lineRule="auto"/>
      </w:pPr>
      <w:r>
        <w:separator/>
      </w:r>
    </w:p>
  </w:footnote>
  <w:footnote w:type="continuationSeparator" w:id="0">
    <w:p w:rsidR="00845F07" w:rsidRDefault="00845F0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C68CE" w:rsidRDefault="003C68C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C68CE" w:rsidRDefault="003C68C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C68CE" w:rsidRDefault="003C68C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C68CE"/>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22F2C"/>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45F07"/>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580211760">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0E069-B1CB-4F5A-85CC-27557790F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1820</Words>
  <Characters>10380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2026-09-16T06:51:00Z</dcterms:created>
  <dcterms:modified xsi:type="dcterms:W3CDTF">2026-09-16T06:51:00Z</dcterms:modified>
</cp:coreProperties>
</file>