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14.02.2020 № 05-07/127</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6194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отделения переливания крови</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20.59</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6"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 </w:t>
            </w:r>
            <w:r w:rsidRPr="00402525">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рабочих дней после поступления письменной заявки от Покупателя. Последняя дата подачи заявки на поставку 17.07.2020. Максимальное количество партий 10 (десять).</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70 %</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№126н</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W w:w="5000" w:type="pct"/>
        <w:jc w:val="center"/>
        <w:tblLook w:val="04A0" w:firstRow="1" w:lastRow="0" w:firstColumn="1" w:lastColumn="0" w:noHBand="0" w:noVBand="1"/>
      </w:tblPr>
      <w:tblGrid>
        <w:gridCol w:w="421"/>
        <w:gridCol w:w="2460"/>
        <w:gridCol w:w="5016"/>
        <w:gridCol w:w="1316"/>
        <w:gridCol w:w="1006"/>
        <w:gridCol w:w="929"/>
        <w:gridCol w:w="1462"/>
        <w:gridCol w:w="913"/>
        <w:gridCol w:w="1213"/>
        <w:gridCol w:w="1213"/>
      </w:tblGrid>
      <w:tr w:rsidR="00655C4F" w:rsidRPr="00D26658" w:rsidTr="00DD5841">
        <w:trPr>
          <w:trHeight w:val="20"/>
          <w:jc w:val="center"/>
        </w:trPr>
        <w:tc>
          <w:tcPr>
            <w:tcW w:w="133" w:type="pct"/>
            <w:tcBorders>
              <w:top w:val="single" w:sz="4" w:space="0" w:color="000000"/>
              <w:left w:val="single" w:sz="4" w:space="0" w:color="auto"/>
              <w:bottom w:val="single" w:sz="4" w:space="0" w:color="auto"/>
              <w:right w:val="single" w:sz="4" w:space="0" w:color="auto"/>
            </w:tcBorders>
            <w:noWrap/>
            <w:vAlign w:val="bottom"/>
            <w:hideMark/>
          </w:tcPr>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lang w:eastAsia="ru-RU"/>
              </w:rPr>
              <w:t>№</w:t>
            </w:r>
          </w:p>
        </w:tc>
        <w:tc>
          <w:tcPr>
            <w:tcW w:w="772" w:type="pct"/>
            <w:tcBorders>
              <w:top w:val="single" w:sz="4" w:space="0" w:color="000000"/>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lang w:eastAsia="ru-RU"/>
              </w:rPr>
              <w:t>Наименование Товара</w:t>
            </w:r>
          </w:p>
        </w:tc>
        <w:tc>
          <w:tcPr>
            <w:tcW w:w="1573" w:type="pct"/>
            <w:tcBorders>
              <w:top w:val="single" w:sz="4" w:space="0" w:color="000000"/>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lang w:eastAsia="ru-RU"/>
              </w:rPr>
              <w:t>Технические характеристики</w:t>
            </w:r>
          </w:p>
        </w:tc>
        <w:tc>
          <w:tcPr>
            <w:tcW w:w="405" w:type="pct"/>
            <w:tcBorders>
              <w:top w:val="single" w:sz="4" w:space="0" w:color="auto"/>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lang w:eastAsia="ru-RU"/>
              </w:rPr>
              <w:t>Код ОКПД 2</w:t>
            </w:r>
          </w:p>
        </w:tc>
        <w:tc>
          <w:tcPr>
            <w:tcW w:w="316" w:type="pct"/>
            <w:tcBorders>
              <w:top w:val="single" w:sz="4" w:space="0" w:color="000000"/>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lang w:eastAsia="ru-RU"/>
              </w:rPr>
              <w:t>Ед. изм.</w:t>
            </w:r>
          </w:p>
        </w:tc>
        <w:tc>
          <w:tcPr>
            <w:tcW w:w="292" w:type="pct"/>
            <w:tcBorders>
              <w:top w:val="single" w:sz="4" w:space="0" w:color="000000"/>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lang w:eastAsia="ru-RU"/>
              </w:rPr>
              <w:t xml:space="preserve">Кол-во </w:t>
            </w:r>
          </w:p>
        </w:tc>
        <w:tc>
          <w:tcPr>
            <w:tcW w:w="459" w:type="pct"/>
            <w:tcBorders>
              <w:top w:val="single" w:sz="4" w:space="0" w:color="000000"/>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lang w:eastAsia="ru-RU"/>
              </w:rPr>
              <w:t>Страна производства</w:t>
            </w:r>
          </w:p>
        </w:tc>
        <w:tc>
          <w:tcPr>
            <w:tcW w:w="287" w:type="pct"/>
            <w:tcBorders>
              <w:top w:val="single" w:sz="4" w:space="0" w:color="auto"/>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lang w:eastAsia="ru-RU"/>
              </w:rPr>
              <w:t>НДС %</w:t>
            </w:r>
          </w:p>
        </w:tc>
        <w:tc>
          <w:tcPr>
            <w:tcW w:w="381" w:type="pct"/>
            <w:tcBorders>
              <w:top w:val="single" w:sz="4" w:space="0" w:color="auto"/>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lang w:eastAsia="ru-RU"/>
              </w:rPr>
              <w:t xml:space="preserve">Цена за ед. </w:t>
            </w:r>
          </w:p>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lang w:eastAsia="ru-RU"/>
              </w:rPr>
              <w:t xml:space="preserve">Товара с </w:t>
            </w:r>
          </w:p>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lang w:eastAsia="ru-RU"/>
              </w:rPr>
              <w:t>НДС (руб.)</w:t>
            </w:r>
          </w:p>
        </w:tc>
        <w:tc>
          <w:tcPr>
            <w:tcW w:w="381" w:type="pct"/>
            <w:tcBorders>
              <w:top w:val="single" w:sz="4" w:space="0" w:color="auto"/>
              <w:left w:val="nil"/>
              <w:bottom w:val="single" w:sz="4" w:space="0" w:color="auto"/>
              <w:right w:val="single" w:sz="4" w:space="0" w:color="auto"/>
            </w:tcBorders>
            <w:shd w:val="clear" w:color="000000" w:fill="FFFF00"/>
            <w:noWrap/>
            <w:vAlign w:val="bottom"/>
            <w:hideMark/>
          </w:tcPr>
          <w:p w:rsidR="00D26658" w:rsidRPr="00D26658" w:rsidRDefault="00D26658" w:rsidP="00D2665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26658">
              <w:rPr>
                <w:rFonts w:ascii="Times New Roman" w:eastAsia="Times New Roman" w:hAnsi="Times New Roman" w:cs="Times New Roman"/>
                <w:b/>
                <w:sz w:val="20"/>
                <w:szCs w:val="20"/>
                <w:lang w:eastAsia="ru-RU"/>
              </w:rPr>
              <w:t> </w:t>
            </w:r>
            <w:r w:rsidRPr="00D26658">
              <w:rPr>
                <w:rFonts w:ascii="Times New Roman" w:eastAsia="Times New Roman" w:hAnsi="Times New Roman" w:cs="Times New Roman"/>
                <w:b/>
                <w:sz w:val="20"/>
                <w:szCs w:val="20"/>
              </w:rPr>
              <w:t xml:space="preserve">Сумма с </w:t>
            </w:r>
          </w:p>
          <w:p w:rsidR="00D26658" w:rsidRPr="00D26658" w:rsidRDefault="00D26658" w:rsidP="00D26658">
            <w:pPr>
              <w:spacing w:after="0" w:line="240" w:lineRule="auto"/>
              <w:jc w:val="both"/>
              <w:rPr>
                <w:rFonts w:ascii="Times New Roman" w:eastAsia="Times New Roman" w:hAnsi="Times New Roman" w:cs="Times New Roman"/>
                <w:b/>
                <w:sz w:val="20"/>
                <w:szCs w:val="20"/>
                <w:lang w:eastAsia="ru-RU"/>
              </w:rPr>
            </w:pPr>
            <w:r w:rsidRPr="00D26658">
              <w:rPr>
                <w:rFonts w:ascii="Times New Roman" w:eastAsia="Times New Roman" w:hAnsi="Times New Roman" w:cs="Times New Roman"/>
                <w:b/>
                <w:sz w:val="20"/>
                <w:szCs w:val="20"/>
              </w:rPr>
              <w:t>НДС (руб.)</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xml:space="preserve">Реагенты диагностические для иммуногематологических исследований in vitro. </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Предназначены для определения RH2 (C), RH3 (E), RH4 (c), RH5 (e) и KEL1 (К) антигенов эритроцитов на основе комбинации методов агглютинации и гель фильтрации. Карта имеет 6 микропробирок, которые содержат моноклональные антитела анти-С (клеточная линия MS-24), анти-с (клеточная линия MS-33), анти-E (клеточная линия MS-260), анти-е (клеточная линия MS-16, МС-21, МС-63) и анти-К (клеточная линия MS-56) в гелевом матриксе. Микропробирока (Ctl) cсодержит нейтральный гель, является отрицательным контролем. Инструкции по применению реагентов на русском языке. 48 карт в упаковке.</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single" w:sz="4" w:space="0" w:color="000000"/>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single" w:sz="4" w:space="0" w:color="000000"/>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30</w:t>
            </w:r>
          </w:p>
        </w:tc>
        <w:tc>
          <w:tcPr>
            <w:tcW w:w="459" w:type="pct"/>
            <w:tcBorders>
              <w:top w:val="single" w:sz="4" w:space="0" w:color="000000"/>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655C4F" w:rsidP="00D266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Тест-полоски для определения АЛТ на анализаторе Рефлотрон</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Тест-полоски для определения АЛТ на анализаторе Рефлотрон. Бумажная полоска с нанесенным сухим реагентом для определения аланинаминотрансферазы. Объем образца 32 мкл. Используется венозная кровь, капиллярная кровь, плазма, сыворотка.</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40</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3</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Набор для контроля и очистки оптической системы</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Набор, состоит из 15 контрольных тест-полосок и 16 салфеток. Предназначен для чистки и контроля оптической системы прибора «Рефлотрон Плюс».</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4</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xml:space="preserve">Реагенты диагностические для иммуногематологических исследований in vitro. </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Предназначены для определения KEL1 (К) антигенов эритроцитов на основе комбинации методов агглютинации и гель фильтрации. Карта имеет 6 микропробирок, которые содержат моноклональные антитела анти-К (клеточная линия MS-56) в гелевом матриксе. Инструкции по применению реагентов на русском языке. 48 карт в упаковке.</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15</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5</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val="en-US" w:eastAsia="ru-RU"/>
              </w:rPr>
            </w:pPr>
            <w:r w:rsidRPr="00D26658">
              <w:rPr>
                <w:rFonts w:ascii="Times New Roman" w:eastAsia="Times New Roman" w:hAnsi="Times New Roman" w:cs="Times New Roman"/>
                <w:sz w:val="20"/>
                <w:szCs w:val="20"/>
                <w:lang w:eastAsia="ru-RU"/>
              </w:rPr>
              <w:t xml:space="preserve">Реагенты диагностические для иммуногематологических исследований in vitro. </w:t>
            </w:r>
            <w:r w:rsidRPr="00D26658">
              <w:rPr>
                <w:rFonts w:ascii="Times New Roman" w:eastAsia="Times New Roman" w:hAnsi="Times New Roman" w:cs="Times New Roman"/>
                <w:sz w:val="20"/>
                <w:szCs w:val="20"/>
                <w:lang w:val="en-US" w:eastAsia="ru-RU"/>
              </w:rPr>
              <w:t xml:space="preserve">ID </w:t>
            </w:r>
            <w:r w:rsidRPr="00D26658">
              <w:rPr>
                <w:rFonts w:ascii="Times New Roman" w:eastAsia="Times New Roman" w:hAnsi="Times New Roman" w:cs="Times New Roman"/>
                <w:sz w:val="20"/>
                <w:szCs w:val="20"/>
                <w:lang w:eastAsia="ru-RU"/>
              </w:rPr>
              <w:t>ДиаКлон</w:t>
            </w:r>
            <w:r w:rsidRPr="00D26658">
              <w:rPr>
                <w:rFonts w:ascii="Times New Roman" w:eastAsia="Times New Roman" w:hAnsi="Times New Roman" w:cs="Times New Roman"/>
                <w:sz w:val="20"/>
                <w:szCs w:val="20"/>
                <w:lang w:val="en-US" w:eastAsia="ru-RU"/>
              </w:rPr>
              <w:t xml:space="preserve"> ABD -</w:t>
            </w:r>
            <w:r w:rsidRPr="00D26658">
              <w:rPr>
                <w:rFonts w:ascii="Times New Roman" w:eastAsia="Times New Roman" w:hAnsi="Times New Roman" w:cs="Times New Roman"/>
                <w:sz w:val="20"/>
                <w:szCs w:val="20"/>
                <w:lang w:eastAsia="ru-RU"/>
              </w:rPr>
              <w:t>подтверждающие</w:t>
            </w:r>
            <w:r w:rsidRPr="00D26658">
              <w:rPr>
                <w:rFonts w:ascii="Times New Roman" w:eastAsia="Times New Roman" w:hAnsi="Times New Roman" w:cs="Times New Roman"/>
                <w:sz w:val="20"/>
                <w:szCs w:val="20"/>
                <w:lang w:val="en-US" w:eastAsia="ru-RU"/>
              </w:rPr>
              <w:t xml:space="preserve"> </w:t>
            </w:r>
            <w:r w:rsidRPr="00D26658">
              <w:rPr>
                <w:rFonts w:ascii="Times New Roman" w:eastAsia="Times New Roman" w:hAnsi="Times New Roman" w:cs="Times New Roman"/>
                <w:sz w:val="20"/>
                <w:szCs w:val="20"/>
                <w:lang w:eastAsia="ru-RU"/>
              </w:rPr>
              <w:t>для</w:t>
            </w:r>
            <w:r w:rsidRPr="00D26658">
              <w:rPr>
                <w:rFonts w:ascii="Times New Roman" w:eastAsia="Times New Roman" w:hAnsi="Times New Roman" w:cs="Times New Roman"/>
                <w:sz w:val="20"/>
                <w:szCs w:val="20"/>
                <w:lang w:val="en-US" w:eastAsia="ru-RU"/>
              </w:rPr>
              <w:t xml:space="preserve"> </w:t>
            </w:r>
            <w:r w:rsidRPr="00D26658">
              <w:rPr>
                <w:rFonts w:ascii="Times New Roman" w:eastAsia="Times New Roman" w:hAnsi="Times New Roman" w:cs="Times New Roman"/>
                <w:sz w:val="20"/>
                <w:szCs w:val="20"/>
                <w:lang w:eastAsia="ru-RU"/>
              </w:rPr>
              <w:t>пациентов</w:t>
            </w:r>
            <w:r w:rsidRPr="00D26658">
              <w:rPr>
                <w:rFonts w:ascii="Times New Roman" w:eastAsia="Times New Roman" w:hAnsi="Times New Roman" w:cs="Times New Roman"/>
                <w:sz w:val="20"/>
                <w:szCs w:val="20"/>
                <w:lang w:val="en-US" w:eastAsia="ru-RU"/>
              </w:rPr>
              <w:t xml:space="preserve"> (ID DiaClon ABD-Confirmation for patients)</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Предназначены для определения групп крови по системе АВО и резус антигена D эритроцитов методом гель-фильтрации. Диагностические карты с 6 микропробирками размером 70х52 мм. Карта состоит из двух аналогичных частей по 3 микропробирки каждая. Каждые три микропробирки содержат гель с моноклональными  анти-A [клеточная линия A5], анти-B [клеточная линия G½] и анти-D [клеточные линии LHM 59 / 20 (LDM3)+ 175-2] в гелевом матриксе.  Инструкции по применению реагентов на русском языке.  Не менее 12 карт в упаковке</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15</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6</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xml:space="preserve">Реагенты диагностические для иммуногематологических исследований in vitro. ID ДиаКлон ABD- подтверждающие для доноров </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Предназначены для  определения групп крови по системе АВО и резус антигена D эритроцитов методом гель-фильтрации. Диагностические карты с 6 микропробирками размером 70х52 мм. Карта состоит из двух аналогичных частей по 3 микропробирки каждая. Каждые три микропробирки содержат моноклональные антитела: анти-А (клеточная линия LM297/628 [LA-2]), анти-B (клеточная линия LM306/686 [LB-2]) и анти-D (клеточная линия  ESD-1М, 175-2) в гелевом матриксе. Инструкции по применению реагентов на русском языке. Не менее 48 карт в упаковке</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15</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7</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Реагенты диагностические для иммуногематологических исследований in vitro ID Анти-к (ID Anti-k)</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Предназначены для определения антигена Kpb системы Kell методом агглютинации и гель-фильтрации.  ID-Card ˝Anti-k˝. с 6 микропробирками содержащими поликлональные анти-к антитела сыворотки крови человека в гелевом матриксе.  Инструкции по применению реагентов на русском языке. Не менее 12 карт.</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3</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8</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xml:space="preserve">Гемоглобиновые микрокюветы </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Самозаполняющаяся микрокювета в индивидуальной одноразовой упаковке, содержит реагенты на внутренней поверхности стенок- микрокювета изготовлена из полистирола, имеет емкость  объемом 8 мкл  с расстоянием между стенками  0,13 мм (оптическое окно).  Предназначены для анализатора «HemoСontrol», EKF Diagnostics, Германия.  50 шт. в упак</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10</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9</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xml:space="preserve">Реагенты диагностические для иммуногематологических исследований in vitro </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Предназначен для приготовления суспензии эритроцитов для определения групп крови АВО/RH, RH/Келл фенотипирования, для определения и идентификации антиэритроцитарных антител, постановки реакции на совместимость по антигенам эритроцитов при использовании линии реагентов ID-System.ID- дилюент 1: модифицированный раствор бромелина для суспензии эритроцитов для ферментативных тестов. Инструкции по применению реагентов на русском языке.  Упаковка  2фл. х100 мл.</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20.59.52.190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10</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xml:space="preserve">Реагенты для иммуногематологических исследований  in vitro </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Реагенты для иммуногематологических исследований in vitro ID Анти-Cw (ID Anti- Cw), 12 карт. Карта Анти-Cw предназначена для определения антигена Cw cистемы Резус методом агглютинации и гель-фильтрации. Карта Анти-Cw с 6 микропробирками, содержащими смесь поликлональных и моноклональных антител анти-Cw (клеточная линия: MS110) в гелевом матриксе Инструкции по применению реагентов на русском языке. 12 карт в упаковке. Совместимость с иммуногематологическим анализатором IH-1000, имеющимся у заказчика.</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2</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11</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xml:space="preserve">Реагенты диагностические для иммуногематологических исследований in vitro. </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Реагент ID-«ДиаКлон Анти-D» для подтверждения вариантов слабого антигена D в непрямом антиглобулиновом тесте  (IAT). Реагент ID-«ДиаКлон Анти-D» содержит моноклональные анти-D антитела класса IgG (клеточная линия ESD1), поставляется в виде готовых к использованию реагентов во флаконах по 5 мл. Инструкции по применению реагентов на русском языке</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12</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Реагент для выявления антигена А1 системы АВО(Н)</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xml:space="preserve">Реагент анти-А1 предназначен для определения подгруппы антигена А (А1). Форма выпуска – Реагент  анти-А1 должен быть в жидкой форме во флаконах объёмом 10 мл (1 мл содержит 10 доз), цвет красный. </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мл</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50</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13</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Раствор полиглюкина 33%</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Раствор полиглюкина 33% должен быть предназначен для постановки проб на совместимость крови донора и реципиента и выявления неполных иммунных антител к групповым антигенам с помощью полиглюкина. Объем флакона - не менее 10 мл</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мл</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300</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14</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Реагенты диагностические для иммуногематологических исследований in vitro.</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Предназначен для скрининга и идентификации антиэритроцитарных антител, постановки пробы на совместимость по антигенам эритроцитов в непрямом антиглобулиновом тесте (проба Кумбса), прямого антиглобулинового теста (прямой реакции Кумбса). Диагностические карты “LISS/Coombs” с 6 микропробирками размером 70х52 мм содержащими полиспецифический АГР (кроличий анти-IgG, моноклональный анти-С3d, клон no C139-9), суспендированный в геле.  Инструкции по применению реагентов на русском языке. 48 карт в упаковке</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100</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15</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xml:space="preserve">Реагенты диагностические для иммуногематологических исследований in vitro. </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xml:space="preserve">Реагент предназначена для определения антигена D cистемы Резус методом агглютинации. Содержит смесь моноклональных антител анти-D (клеточные линии TH-28, МС-26, 175-2). Инструкции по применению реагентов на русском языке. </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r w:rsidR="00655C4F" w:rsidRPr="00D26658" w:rsidTr="00D26658">
        <w:trPr>
          <w:trHeight w:val="20"/>
          <w:jc w:val="center"/>
        </w:trPr>
        <w:tc>
          <w:tcPr>
            <w:tcW w:w="133" w:type="pct"/>
            <w:tcBorders>
              <w:top w:val="nil"/>
              <w:left w:val="single" w:sz="4" w:space="0" w:color="auto"/>
              <w:bottom w:val="single" w:sz="4" w:space="0" w:color="auto"/>
              <w:right w:val="single" w:sz="4" w:space="0" w:color="auto"/>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16</w:t>
            </w:r>
          </w:p>
        </w:tc>
        <w:tc>
          <w:tcPr>
            <w:tcW w:w="772" w:type="pct"/>
            <w:tcBorders>
              <w:top w:val="nil"/>
              <w:left w:val="nil"/>
              <w:bottom w:val="single" w:sz="4" w:space="0" w:color="auto"/>
              <w:right w:val="single" w:sz="4" w:space="0" w:color="auto"/>
            </w:tcBorders>
            <w:hideMark/>
          </w:tcPr>
          <w:p w:rsidR="00D26658" w:rsidRPr="00D26658" w:rsidRDefault="00D26658" w:rsidP="00D26658">
            <w:pPr>
              <w:spacing w:after="0" w:line="240" w:lineRule="auto"/>
              <w:ind w:left="-137"/>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xml:space="preserve"> Реагенты диагностические для иммуногематологических исследований in vitro. </w:t>
            </w:r>
          </w:p>
        </w:tc>
        <w:tc>
          <w:tcPr>
            <w:tcW w:w="1573" w:type="pct"/>
            <w:tcBorders>
              <w:top w:val="nil"/>
              <w:left w:val="nil"/>
              <w:bottom w:val="single" w:sz="4" w:space="0" w:color="auto"/>
              <w:right w:val="single" w:sz="4" w:space="0" w:color="auto"/>
            </w:tcBorders>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Предназначены для  определения групп крови по системе АВО и резус антигена D эритроцитов в прямой и обратной реакции методом гель-фильтрации. Диагностические карты с  6 микропробирками размером 70х52 мм. Первые две микропробирки содержат гель с моноклональными  анти-A [клеточная линия A5], анти-B [клеточная линия G½] и анти-D [клеточные линии LHM 59 / 20 (LDM3)+ 175-2] в гелевом матриксе. Микропробирка ctl является отрицательным контролем. Две микропробирки с ˝нейтральным˝ гелем для определения группы крови обратным методом с A1 и B стандартными эритроцитами. Инструкции по применению реагентов на русском языке. 48 карт в упаковке. Совместимость с иммуногематологическим анализатором IH-1000, имеющимся у заказчика.</w:t>
            </w:r>
          </w:p>
        </w:tc>
        <w:tc>
          <w:tcPr>
            <w:tcW w:w="405" w:type="pct"/>
            <w:tcBorders>
              <w:top w:val="nil"/>
              <w:left w:val="nil"/>
              <w:bottom w:val="single" w:sz="4" w:space="0" w:color="auto"/>
              <w:right w:val="single" w:sz="4" w:space="0" w:color="auto"/>
            </w:tcBorders>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val="en-US" w:eastAsia="ru-RU"/>
              </w:rPr>
              <w:t>20</w:t>
            </w:r>
            <w:r w:rsidRPr="00D26658">
              <w:rPr>
                <w:rFonts w:ascii="Times New Roman" w:eastAsia="Times New Roman" w:hAnsi="Times New Roman" w:cs="Times New Roman"/>
                <w:sz w:val="20"/>
                <w:szCs w:val="20"/>
                <w:lang w:eastAsia="ru-RU"/>
              </w:rPr>
              <w:t>.59.52.190</w:t>
            </w:r>
          </w:p>
        </w:tc>
        <w:tc>
          <w:tcPr>
            <w:tcW w:w="316"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упак</w:t>
            </w:r>
          </w:p>
        </w:tc>
        <w:tc>
          <w:tcPr>
            <w:tcW w:w="292" w:type="pct"/>
            <w:tcBorders>
              <w:top w:val="nil"/>
              <w:left w:val="nil"/>
              <w:bottom w:val="single" w:sz="4" w:space="0" w:color="000000"/>
              <w:right w:val="single" w:sz="4" w:space="0" w:color="000000"/>
            </w:tcBorders>
            <w:noWrap/>
            <w:hideMark/>
          </w:tcPr>
          <w:p w:rsidR="00D26658" w:rsidRPr="00D26658" w:rsidRDefault="00D26658" w:rsidP="00D26658">
            <w:pPr>
              <w:spacing w:after="0" w:line="240" w:lineRule="auto"/>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90</w:t>
            </w:r>
          </w:p>
        </w:tc>
        <w:tc>
          <w:tcPr>
            <w:tcW w:w="459" w:type="pct"/>
            <w:tcBorders>
              <w:top w:val="nil"/>
              <w:left w:val="nil"/>
              <w:bottom w:val="single" w:sz="4" w:space="0" w:color="000000"/>
              <w:right w:val="single" w:sz="4" w:space="0" w:color="000000"/>
            </w:tcBorders>
            <w:noWrap/>
            <w:vAlign w:val="bottom"/>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p>
        </w:tc>
        <w:tc>
          <w:tcPr>
            <w:tcW w:w="287" w:type="pct"/>
            <w:tcBorders>
              <w:top w:val="nil"/>
              <w:left w:val="single" w:sz="4" w:space="0" w:color="auto"/>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c>
          <w:tcPr>
            <w:tcW w:w="381" w:type="pct"/>
            <w:tcBorders>
              <w:top w:val="nil"/>
              <w:left w:val="nil"/>
              <w:bottom w:val="single" w:sz="4" w:space="0" w:color="auto"/>
              <w:right w:val="single" w:sz="4" w:space="0" w:color="auto"/>
            </w:tcBorders>
            <w:shd w:val="clear" w:color="000000" w:fill="FFFF00"/>
            <w:noWrap/>
            <w:vAlign w:val="bottom"/>
            <w:hideMark/>
          </w:tcPr>
          <w:p w:rsidR="00D26658" w:rsidRPr="00D26658" w:rsidRDefault="00D26658" w:rsidP="00D26658">
            <w:pPr>
              <w:spacing w:after="0" w:line="240" w:lineRule="auto"/>
              <w:jc w:val="both"/>
              <w:rPr>
                <w:rFonts w:ascii="Times New Roman" w:eastAsia="Times New Roman" w:hAnsi="Times New Roman" w:cs="Times New Roman"/>
                <w:sz w:val="20"/>
                <w:szCs w:val="20"/>
                <w:lang w:eastAsia="ru-RU"/>
              </w:rPr>
            </w:pPr>
            <w:r w:rsidRPr="00D26658">
              <w:rPr>
                <w:rFonts w:ascii="Times New Roman" w:eastAsia="Times New Roman" w:hAnsi="Times New Roman" w:cs="Times New Roman"/>
                <w:sz w:val="20"/>
                <w:szCs w:val="20"/>
                <w:lang w:eastAsia="ru-RU"/>
              </w:rPr>
              <w:t> </w:t>
            </w:r>
          </w:p>
        </w:tc>
      </w:tr>
    </w:tbl>
    <w:p w:rsidR="00170252" w:rsidRDefault="00170252" w:rsidP="000820E3">
      <w:pPr>
        <w:rPr>
          <w:rFonts w:ascii="Times New Roman" w:hAnsi="Times New Roman" w:cs="Times New Roman"/>
          <w:b/>
          <w:sz w:val="28"/>
          <w:szCs w:val="28"/>
        </w:rPr>
      </w:pPr>
    </w:p>
    <w:sectPr w:rsidR="00170252" w:rsidSect="00D2665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C2" w:rsidRDefault="001F21C2">
      <w:pPr>
        <w:spacing w:after="0" w:line="240" w:lineRule="auto"/>
      </w:pPr>
      <w:r>
        <w:separator/>
      </w:r>
    </w:p>
  </w:endnote>
  <w:endnote w:type="continuationSeparator" w:id="0">
    <w:p w:rsidR="001F21C2" w:rsidRDefault="001F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6194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6194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6194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6194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6194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55C4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C2" w:rsidRDefault="001F21C2">
      <w:pPr>
        <w:spacing w:after="0" w:line="240" w:lineRule="auto"/>
      </w:pPr>
      <w:r>
        <w:separator/>
      </w:r>
    </w:p>
  </w:footnote>
  <w:footnote w:type="continuationSeparator" w:id="0">
    <w:p w:rsidR="001F21C2" w:rsidRDefault="001F21C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21C2"/>
    <w:rsid w:val="001F4949"/>
    <w:rsid w:val="001F575C"/>
    <w:rsid w:val="00204D4E"/>
    <w:rsid w:val="0021224E"/>
    <w:rsid w:val="00213BCE"/>
    <w:rsid w:val="002163C8"/>
    <w:rsid w:val="00221C8B"/>
    <w:rsid w:val="00225BCF"/>
    <w:rsid w:val="002329D0"/>
    <w:rsid w:val="002420F4"/>
    <w:rsid w:val="00251D64"/>
    <w:rsid w:val="00255BA3"/>
    <w:rsid w:val="002602CF"/>
    <w:rsid w:val="0026194B"/>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55C4F"/>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26658"/>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2636-F76C-4367-B12B-092938B2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2020-02-13T18:09:00Z</dcterms:created>
  <dcterms:modified xsi:type="dcterms:W3CDTF">2020-02-13T18:09:00Z</dcterms:modified>
</cp:coreProperties>
</file>