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1A315872" wp14:editId="721AD1AC">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06.10.2022 № 21.1-03/1325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13.10.2022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27D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картотечных шкафов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календарных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партиями в течении 30 календарных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60 (шестидесяти)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соответствии со статьей 29 44ФЗ</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30 апреля 2020 г. N 616</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AF07F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276"/>
        <w:gridCol w:w="3544"/>
        <w:gridCol w:w="2126"/>
        <w:gridCol w:w="709"/>
        <w:gridCol w:w="709"/>
        <w:gridCol w:w="1417"/>
        <w:gridCol w:w="1276"/>
        <w:gridCol w:w="991"/>
        <w:gridCol w:w="991"/>
        <w:gridCol w:w="1136"/>
      </w:tblGrid>
      <w:tr w:rsidR="00AF07FA" w:rsidRPr="00D016CD" w:rsidTr="00AF07FA">
        <w:trPr>
          <w:trHeight w:val="570"/>
        </w:trPr>
        <w:tc>
          <w:tcPr>
            <w:tcW w:w="709" w:type="dxa"/>
            <w:noWrap/>
            <w:hideMark/>
          </w:tcPr>
          <w:p w:rsidR="00AF07FA" w:rsidRPr="00D016CD" w:rsidRDefault="00AF07FA" w:rsidP="00AF07FA">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lastRenderedPageBreak/>
              <w:t>№ п/п</w:t>
            </w:r>
          </w:p>
        </w:tc>
        <w:tc>
          <w:tcPr>
            <w:tcW w:w="1702" w:type="dxa"/>
            <w:hideMark/>
          </w:tcPr>
          <w:p w:rsidR="00AF07FA" w:rsidRPr="00D016CD" w:rsidRDefault="00AF07FA" w:rsidP="00AF07FA">
            <w:pPr>
              <w:spacing w:after="0" w:line="240" w:lineRule="auto"/>
              <w:ind w:left="-108" w:right="-75"/>
              <w:jc w:val="center"/>
              <w:rPr>
                <w:rFonts w:ascii="Times New Roman" w:hAnsi="Times New Roman"/>
                <w:b/>
                <w:bCs/>
                <w:sz w:val="20"/>
                <w:szCs w:val="20"/>
                <w:lang w:eastAsia="ru-RU"/>
              </w:rPr>
            </w:pPr>
            <w:r w:rsidRPr="00D016CD">
              <w:rPr>
                <w:rFonts w:ascii="Times New Roman" w:hAnsi="Times New Roman"/>
                <w:b/>
                <w:bCs/>
                <w:sz w:val="20"/>
                <w:szCs w:val="20"/>
                <w:lang w:eastAsia="ru-RU"/>
              </w:rPr>
              <w:t>Наименование товара</w:t>
            </w:r>
          </w:p>
        </w:tc>
        <w:tc>
          <w:tcPr>
            <w:tcW w:w="6946" w:type="dxa"/>
            <w:gridSpan w:val="3"/>
            <w:noWrap/>
            <w:hideMark/>
          </w:tcPr>
          <w:p w:rsidR="00AF07FA" w:rsidRPr="00D016CD" w:rsidRDefault="00AF07FA" w:rsidP="00AF07FA">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t>Технические характеристики</w:t>
            </w:r>
          </w:p>
        </w:tc>
        <w:tc>
          <w:tcPr>
            <w:tcW w:w="709" w:type="dxa"/>
            <w:noWrap/>
            <w:hideMark/>
          </w:tcPr>
          <w:p w:rsidR="00AF07FA" w:rsidRPr="00D016CD" w:rsidRDefault="00AF07FA" w:rsidP="00AF07FA">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t>Кол-во</w:t>
            </w:r>
          </w:p>
        </w:tc>
        <w:tc>
          <w:tcPr>
            <w:tcW w:w="709" w:type="dxa"/>
            <w:hideMark/>
          </w:tcPr>
          <w:p w:rsidR="00AF07FA" w:rsidRPr="00D016CD" w:rsidRDefault="00AF07FA" w:rsidP="00AF07FA">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t>Ед. изм.</w:t>
            </w:r>
          </w:p>
        </w:tc>
        <w:tc>
          <w:tcPr>
            <w:tcW w:w="1417" w:type="dxa"/>
            <w:noWrap/>
            <w:hideMark/>
          </w:tcPr>
          <w:p w:rsidR="00AF07FA" w:rsidRPr="00D016CD" w:rsidRDefault="00AF07FA" w:rsidP="00AF07FA">
            <w:pPr>
              <w:spacing w:after="0" w:line="240" w:lineRule="auto"/>
              <w:jc w:val="center"/>
              <w:rPr>
                <w:rFonts w:ascii="Times New Roman" w:hAnsi="Times New Roman"/>
                <w:b/>
                <w:bCs/>
                <w:sz w:val="20"/>
                <w:szCs w:val="20"/>
                <w:lang w:eastAsia="ru-RU"/>
              </w:rPr>
            </w:pPr>
            <w:r w:rsidRPr="00D016CD">
              <w:rPr>
                <w:rFonts w:ascii="Times New Roman" w:hAnsi="Times New Roman"/>
                <w:b/>
                <w:bCs/>
                <w:sz w:val="20"/>
                <w:szCs w:val="20"/>
                <w:lang w:eastAsia="ru-RU"/>
              </w:rPr>
              <w:t>КТРУ</w:t>
            </w:r>
          </w:p>
        </w:tc>
        <w:tc>
          <w:tcPr>
            <w:tcW w:w="1276" w:type="dxa"/>
            <w:shd w:val="clear" w:color="auto" w:fill="FFFFCC"/>
          </w:tcPr>
          <w:p w:rsidR="00AF07FA" w:rsidRDefault="00AF07FA" w:rsidP="00AF07F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Страна</w:t>
            </w:r>
          </w:p>
          <w:p w:rsidR="00AF07FA" w:rsidRPr="00D016CD" w:rsidRDefault="00AF07FA" w:rsidP="00AF07F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пр-я</w:t>
            </w:r>
          </w:p>
        </w:tc>
        <w:tc>
          <w:tcPr>
            <w:tcW w:w="991" w:type="dxa"/>
            <w:shd w:val="clear" w:color="auto" w:fill="FFFFCC"/>
          </w:tcPr>
          <w:p w:rsidR="00AF07FA" w:rsidRDefault="00AF07FA" w:rsidP="00AF07F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НДС</w:t>
            </w:r>
          </w:p>
          <w:p w:rsidR="00AF07FA" w:rsidRPr="00D016CD" w:rsidRDefault="00AF07FA" w:rsidP="00AF07F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w:t>
            </w:r>
          </w:p>
        </w:tc>
        <w:tc>
          <w:tcPr>
            <w:tcW w:w="991" w:type="dxa"/>
            <w:shd w:val="clear" w:color="auto" w:fill="FFFFCC"/>
          </w:tcPr>
          <w:p w:rsidR="00AF07FA" w:rsidRDefault="00AF07FA" w:rsidP="00AF07F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Цена за ед. с НДС</w:t>
            </w:r>
          </w:p>
          <w:p w:rsidR="00AF07FA" w:rsidRDefault="00AF07FA" w:rsidP="00AF07F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(руб)</w:t>
            </w:r>
          </w:p>
        </w:tc>
        <w:tc>
          <w:tcPr>
            <w:tcW w:w="1136" w:type="dxa"/>
            <w:shd w:val="clear" w:color="auto" w:fill="FFFFCC"/>
          </w:tcPr>
          <w:p w:rsidR="00AF07FA" w:rsidRDefault="00AF07FA" w:rsidP="00AF07F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Сумма</w:t>
            </w:r>
          </w:p>
          <w:p w:rsidR="00AF07FA" w:rsidRDefault="00AF07FA" w:rsidP="00AF07F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 НДС</w:t>
            </w:r>
          </w:p>
          <w:p w:rsidR="00AF07FA" w:rsidRDefault="00AF07FA" w:rsidP="00AF07FA">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 xml:space="preserve">(руб.)  </w:t>
            </w:r>
          </w:p>
        </w:tc>
      </w:tr>
      <w:tr w:rsidR="00AF07FA" w:rsidRPr="00D016CD" w:rsidTr="00AF07FA">
        <w:trPr>
          <w:trHeight w:val="260"/>
        </w:trPr>
        <w:tc>
          <w:tcPr>
            <w:tcW w:w="709" w:type="dxa"/>
            <w:vMerge w:val="restart"/>
          </w:tcPr>
          <w:p w:rsidR="00AF07FA" w:rsidRPr="00D016CD" w:rsidRDefault="00AF07FA" w:rsidP="00AF07FA">
            <w:pPr>
              <w:numPr>
                <w:ilvl w:val="0"/>
                <w:numId w:val="20"/>
              </w:numPr>
              <w:spacing w:after="0" w:line="240" w:lineRule="auto"/>
              <w:ind w:left="34" w:right="175"/>
              <w:contextualSpacing/>
              <w:jc w:val="right"/>
              <w:rPr>
                <w:rFonts w:ascii="Times New Roman" w:hAnsi="Times New Roman"/>
                <w:sz w:val="20"/>
                <w:szCs w:val="20"/>
                <w:lang w:eastAsia="ru-RU"/>
              </w:rPr>
            </w:pPr>
          </w:p>
        </w:tc>
        <w:tc>
          <w:tcPr>
            <w:tcW w:w="1702" w:type="dxa"/>
            <w:vMerge w:val="restart"/>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Шкаф картотечный металлический</w:t>
            </w:r>
          </w:p>
          <w:p w:rsidR="00AF07FA" w:rsidRPr="00D016CD" w:rsidRDefault="00AF07FA" w:rsidP="002077CB">
            <w:pPr>
              <w:spacing w:after="0" w:line="240" w:lineRule="auto"/>
              <w:rPr>
                <w:rFonts w:ascii="Times New Roman" w:hAnsi="Times New Roman"/>
                <w:sz w:val="20"/>
                <w:szCs w:val="20"/>
                <w:lang w:eastAsia="ru-RU"/>
              </w:rPr>
            </w:pPr>
          </w:p>
          <w:p w:rsidR="00AF07FA" w:rsidRPr="00D016CD" w:rsidRDefault="00AF07FA" w:rsidP="002077CB">
            <w:pPr>
              <w:widowControl w:val="0"/>
              <w:autoSpaceDE w:val="0"/>
              <w:autoSpaceDN w:val="0"/>
              <w:adjustRightInd w:val="0"/>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2077CB">
            <w:pPr>
              <w:spacing w:after="0" w:line="240" w:lineRule="auto"/>
              <w:jc w:val="center"/>
              <w:rPr>
                <w:rFonts w:ascii="Times New Roman" w:hAnsi="Times New Roman"/>
                <w:b/>
                <w:sz w:val="20"/>
                <w:szCs w:val="20"/>
                <w:lang w:eastAsia="ru-RU"/>
              </w:rPr>
            </w:pPr>
            <w:r w:rsidRPr="00D016CD">
              <w:rPr>
                <w:rFonts w:ascii="Times New Roman" w:hAnsi="Times New Roman"/>
                <w:b/>
                <w:sz w:val="20"/>
                <w:szCs w:val="20"/>
                <w:lang w:eastAsia="ru-RU"/>
              </w:rPr>
              <w:t>№</w:t>
            </w:r>
          </w:p>
        </w:tc>
        <w:tc>
          <w:tcPr>
            <w:tcW w:w="3544" w:type="dxa"/>
            <w:vAlign w:val="center"/>
          </w:tcPr>
          <w:p w:rsidR="00AF07FA" w:rsidRPr="00D016CD" w:rsidRDefault="00AF07FA" w:rsidP="002077CB">
            <w:pPr>
              <w:spacing w:after="0" w:line="240" w:lineRule="auto"/>
              <w:jc w:val="center"/>
              <w:rPr>
                <w:rFonts w:ascii="Times New Roman" w:hAnsi="Times New Roman"/>
                <w:b/>
                <w:sz w:val="20"/>
                <w:szCs w:val="20"/>
                <w:lang w:eastAsia="ru-RU"/>
              </w:rPr>
            </w:pPr>
            <w:r w:rsidRPr="00D016CD">
              <w:rPr>
                <w:rFonts w:ascii="Times New Roman" w:hAnsi="Times New Roman"/>
                <w:b/>
                <w:sz w:val="20"/>
                <w:szCs w:val="20"/>
                <w:lang w:eastAsia="ru-RU"/>
              </w:rPr>
              <w:t>Наименование показателя, технические характеристики</w:t>
            </w:r>
          </w:p>
        </w:tc>
        <w:tc>
          <w:tcPr>
            <w:tcW w:w="2126" w:type="dxa"/>
            <w:vAlign w:val="center"/>
          </w:tcPr>
          <w:p w:rsidR="00AF07FA" w:rsidRPr="00D016CD" w:rsidRDefault="00AF07FA" w:rsidP="002077CB">
            <w:pPr>
              <w:spacing w:after="0" w:line="240" w:lineRule="auto"/>
              <w:jc w:val="center"/>
              <w:rPr>
                <w:rFonts w:ascii="Times New Roman" w:hAnsi="Times New Roman"/>
                <w:b/>
                <w:sz w:val="20"/>
                <w:szCs w:val="20"/>
                <w:lang w:eastAsia="ru-RU"/>
              </w:rPr>
            </w:pPr>
            <w:r w:rsidRPr="00D016CD">
              <w:rPr>
                <w:rFonts w:ascii="Times New Roman" w:hAnsi="Times New Roman"/>
                <w:b/>
                <w:sz w:val="20"/>
                <w:szCs w:val="20"/>
                <w:lang w:eastAsia="ru-RU"/>
              </w:rPr>
              <w:t xml:space="preserve">Значение </w:t>
            </w:r>
          </w:p>
        </w:tc>
        <w:tc>
          <w:tcPr>
            <w:tcW w:w="709" w:type="dxa"/>
            <w:vMerge w:val="restart"/>
          </w:tcPr>
          <w:p w:rsidR="00AF07FA" w:rsidRPr="00D016CD" w:rsidRDefault="00AF07FA" w:rsidP="002077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709" w:type="dxa"/>
            <w:vMerge w:val="restart"/>
          </w:tcPr>
          <w:p w:rsidR="00AF07FA" w:rsidRPr="00D016CD" w:rsidRDefault="00AF07FA" w:rsidP="00AF07FA">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Шт</w:t>
            </w:r>
            <w:r>
              <w:rPr>
                <w:rFonts w:ascii="Times New Roman" w:hAnsi="Times New Roman"/>
                <w:sz w:val="20"/>
                <w:szCs w:val="20"/>
                <w:lang w:eastAsia="ru-RU"/>
              </w:rPr>
              <w:t>.</w:t>
            </w:r>
          </w:p>
        </w:tc>
        <w:tc>
          <w:tcPr>
            <w:tcW w:w="1417" w:type="dxa"/>
            <w:vMerge w:val="restart"/>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31.01.11.123-00000001</w:t>
            </w:r>
          </w:p>
        </w:tc>
        <w:tc>
          <w:tcPr>
            <w:tcW w:w="1276" w:type="dxa"/>
            <w:vMerge w:val="restart"/>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val="restart"/>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val="restart"/>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val="restart"/>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shd w:val="clear" w:color="auto" w:fill="FFFFFF"/>
              </w:rPr>
            </w:pPr>
            <w:r w:rsidRPr="00D016CD">
              <w:rPr>
                <w:rFonts w:ascii="Times New Roman" w:hAnsi="Times New Roman"/>
                <w:sz w:val="20"/>
                <w:szCs w:val="20"/>
                <w:shd w:val="clear" w:color="auto" w:fill="FFFFFF"/>
              </w:rPr>
              <w:t>Нагрузка на ящик</w:t>
            </w:r>
          </w:p>
        </w:tc>
        <w:tc>
          <w:tcPr>
            <w:tcW w:w="2126" w:type="dxa"/>
            <w:vAlign w:val="center"/>
          </w:tcPr>
          <w:p w:rsidR="00AF07FA" w:rsidRPr="00D016CD" w:rsidRDefault="00150D21" w:rsidP="002077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w:t>
            </w:r>
            <w:r w:rsidRPr="00150D21">
              <w:rPr>
                <w:rFonts w:ascii="Times New Roman" w:hAnsi="Times New Roman"/>
                <w:sz w:val="20"/>
                <w:szCs w:val="20"/>
                <w:lang w:eastAsia="ru-RU"/>
              </w:rPr>
              <w:t xml:space="preserve"> </w:t>
            </w:r>
            <w:r w:rsidR="00AF07FA" w:rsidRPr="00D016CD">
              <w:rPr>
                <w:rFonts w:ascii="Times New Roman" w:hAnsi="Times New Roman"/>
                <w:sz w:val="20"/>
                <w:szCs w:val="20"/>
                <w:lang w:eastAsia="ru-RU"/>
              </w:rPr>
              <w:t>45 кг.</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shd w:val="clear" w:color="auto" w:fill="FFFFFF"/>
              </w:rPr>
            </w:pPr>
            <w:r w:rsidRPr="00D016CD">
              <w:rPr>
                <w:rFonts w:ascii="Times New Roman" w:hAnsi="Times New Roman"/>
                <w:sz w:val="20"/>
                <w:szCs w:val="20"/>
                <w:shd w:val="clear" w:color="auto" w:fill="FFFFFF"/>
              </w:rPr>
              <w:t>Тип конструкции шкафа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стационарный</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6946" w:type="dxa"/>
            <w:gridSpan w:val="3"/>
            <w:noWrap/>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b/>
                <w:i/>
                <w:sz w:val="20"/>
                <w:szCs w:val="20"/>
                <w:u w:val="single"/>
                <w:lang w:eastAsia="ru-RU"/>
              </w:rPr>
              <w:t>Дополнительные характеристики:</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Материал шкафа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металл</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Материал ящиков</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металл</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shd w:val="clear" w:color="auto" w:fill="FFFFFF"/>
              </w:rPr>
            </w:pPr>
            <w:r w:rsidRPr="00D016CD">
              <w:rPr>
                <w:rFonts w:ascii="Times New Roman" w:hAnsi="Times New Roman"/>
                <w:sz w:val="20"/>
                <w:szCs w:val="20"/>
                <w:lang w:eastAsia="ru-RU"/>
              </w:rPr>
              <w:t>Конструкция корпуса шкафа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сварная</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Размеры (ВхШхГ)</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rPr>
              <w:t>1680х565х600 мм.</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Толщина металла корпуса шкафа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0,6 мм.</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Толщина металла несущих коробов, к которым крепятся ящики</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1,2 мм.</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Толщина металла корпуса ящика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0,6 мм.</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Количество ящиков</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9 шт.</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Центральный замок</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Нет</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Направляющие ящиков</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развернутый шарикоподшипник</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Ширина направляющих ящиков</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12 мм.</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Высота направляющих ящиков</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D016CD">
              <w:rPr>
                <w:rFonts w:ascii="Times New Roman" w:hAnsi="Times New Roman"/>
                <w:sz w:val="20"/>
                <w:szCs w:val="20"/>
                <w:lang w:eastAsia="ru-RU"/>
              </w:rPr>
              <w:t>45 мм.</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 xml:space="preserve">Крепление направляющих к корпусу тумбы </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через зацеп</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Крепление направляющих к корпусу ящика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через зацеп</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Выдвижение ящика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полное</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Рычажок для разбора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наличие</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Внутренние размеры ящика (ВхШхГ)</w:t>
            </w:r>
          </w:p>
        </w:tc>
        <w:tc>
          <w:tcPr>
            <w:tcW w:w="2126" w:type="dxa"/>
            <w:vAlign w:val="center"/>
          </w:tcPr>
          <w:p w:rsidR="00AF07FA" w:rsidRPr="00D016CD" w:rsidRDefault="003A1CAE" w:rsidP="003A1CAE">
            <w:pPr>
              <w:spacing w:after="0" w:line="240" w:lineRule="auto"/>
              <w:jc w:val="center"/>
              <w:rPr>
                <w:rFonts w:ascii="Times New Roman" w:hAnsi="Times New Roman"/>
                <w:sz w:val="20"/>
                <w:szCs w:val="20"/>
                <w:lang w:eastAsia="ru-RU"/>
              </w:rPr>
            </w:pPr>
            <w:r>
              <w:rPr>
                <w:rFonts w:ascii="Times New Roman" w:hAnsi="Times New Roman"/>
                <w:sz w:val="20"/>
                <w:szCs w:val="20"/>
              </w:rPr>
              <w:t xml:space="preserve">Не менее </w:t>
            </w:r>
            <w:r w:rsidR="00AF07FA" w:rsidRPr="00D016CD">
              <w:rPr>
                <w:rFonts w:ascii="Times New Roman" w:hAnsi="Times New Roman"/>
                <w:sz w:val="20"/>
                <w:szCs w:val="20"/>
              </w:rPr>
              <w:t>1</w:t>
            </w:r>
            <w:r>
              <w:rPr>
                <w:rFonts w:ascii="Times New Roman" w:hAnsi="Times New Roman"/>
                <w:sz w:val="20"/>
                <w:szCs w:val="20"/>
              </w:rPr>
              <w:t>55</w:t>
            </w:r>
            <w:r w:rsidR="00AF07FA" w:rsidRPr="00D016CD">
              <w:rPr>
                <w:rFonts w:ascii="Times New Roman" w:hAnsi="Times New Roman"/>
                <w:sz w:val="20"/>
                <w:szCs w:val="20"/>
              </w:rPr>
              <w:t>х45</w:t>
            </w:r>
            <w:r>
              <w:rPr>
                <w:rFonts w:ascii="Times New Roman" w:hAnsi="Times New Roman"/>
                <w:sz w:val="20"/>
                <w:szCs w:val="20"/>
              </w:rPr>
              <w:t>9</w:t>
            </w:r>
            <w:r w:rsidR="00AF07FA" w:rsidRPr="00D016CD">
              <w:rPr>
                <w:rFonts w:ascii="Times New Roman" w:hAnsi="Times New Roman"/>
                <w:sz w:val="20"/>
                <w:szCs w:val="20"/>
              </w:rPr>
              <w:t>х4</w:t>
            </w:r>
            <w:r>
              <w:rPr>
                <w:rFonts w:ascii="Times New Roman" w:hAnsi="Times New Roman"/>
                <w:sz w:val="20"/>
                <w:szCs w:val="20"/>
              </w:rPr>
              <w:t>56</w:t>
            </w:r>
            <w:r w:rsidR="00AF07FA" w:rsidRPr="00D016CD">
              <w:rPr>
                <w:rFonts w:ascii="Times New Roman" w:hAnsi="Times New Roman"/>
                <w:sz w:val="20"/>
                <w:szCs w:val="20"/>
              </w:rPr>
              <w:t xml:space="preserve"> мм.</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Перфорация на линиях сгиба несущих стенок ящика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не допускается</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 xml:space="preserve">Перфорация в ящиках для установки продольных и поперечных перегородок для формирования ячеек формата А5, А6, </w:t>
            </w:r>
            <w:r w:rsidRPr="00D016CD">
              <w:rPr>
                <w:rFonts w:ascii="Times New Roman" w:hAnsi="Times New Roman"/>
                <w:sz w:val="20"/>
                <w:szCs w:val="20"/>
                <w:lang w:val="en-US" w:eastAsia="ru-RU"/>
              </w:rPr>
              <w:t>CD</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наличие</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Продольная перегородка в каждом ящике, образующая две ячейки для хранения документов формата А5</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наличие</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Ширина ячеек в ящиках,</w:t>
            </w:r>
          </w:p>
        </w:tc>
        <w:tc>
          <w:tcPr>
            <w:tcW w:w="2126" w:type="dxa"/>
            <w:vAlign w:val="center"/>
          </w:tcPr>
          <w:p w:rsidR="00AF07FA" w:rsidRPr="00D016CD" w:rsidRDefault="003A1CAE" w:rsidP="003A1CAE">
            <w:pPr>
              <w:spacing w:after="0" w:line="240" w:lineRule="auto"/>
              <w:jc w:val="center"/>
              <w:rPr>
                <w:rFonts w:ascii="Times New Roman" w:hAnsi="Times New Roman"/>
                <w:sz w:val="20"/>
                <w:szCs w:val="20"/>
                <w:lang w:eastAsia="ru-RU"/>
              </w:rPr>
            </w:pPr>
            <w:r>
              <w:rPr>
                <w:rFonts w:ascii="Times New Roman" w:hAnsi="Times New Roman"/>
                <w:sz w:val="20"/>
                <w:szCs w:val="20"/>
              </w:rPr>
              <w:t xml:space="preserve">Не менее </w:t>
            </w:r>
            <w:r w:rsidR="00AF07FA" w:rsidRPr="00D016CD">
              <w:rPr>
                <w:rFonts w:ascii="Times New Roman" w:hAnsi="Times New Roman"/>
                <w:sz w:val="20"/>
                <w:szCs w:val="20"/>
              </w:rPr>
              <w:t>2</w:t>
            </w:r>
            <w:r>
              <w:rPr>
                <w:rFonts w:ascii="Times New Roman" w:hAnsi="Times New Roman"/>
                <w:sz w:val="20"/>
                <w:szCs w:val="20"/>
              </w:rPr>
              <w:t>29</w:t>
            </w:r>
            <w:r w:rsidR="00AF07FA" w:rsidRPr="00D016CD">
              <w:rPr>
                <w:rFonts w:ascii="Times New Roman" w:hAnsi="Times New Roman"/>
                <w:sz w:val="20"/>
                <w:szCs w:val="20"/>
              </w:rPr>
              <w:t xml:space="preserve"> мм</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rPr>
            </w:pPr>
            <w:r w:rsidRPr="00D016CD">
              <w:rPr>
                <w:rFonts w:ascii="Times New Roman" w:hAnsi="Times New Roman"/>
                <w:sz w:val="20"/>
                <w:szCs w:val="20"/>
              </w:rPr>
              <w:t>Табличка из прозрачного пластика на магнитной основе (для идентификации ячеек) на каждом ящике</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rPr>
            </w:pPr>
            <w:r w:rsidRPr="00D016CD">
              <w:rPr>
                <w:rFonts w:ascii="Times New Roman" w:hAnsi="Times New Roman"/>
                <w:sz w:val="20"/>
                <w:szCs w:val="20"/>
              </w:rPr>
              <w:t>наличие</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Цвет корпуса шкафа</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 xml:space="preserve">серый </w:t>
            </w:r>
            <w:r w:rsidRPr="00D016CD">
              <w:rPr>
                <w:rFonts w:ascii="Times New Roman" w:hAnsi="Times New Roman"/>
                <w:sz w:val="20"/>
                <w:szCs w:val="20"/>
                <w:lang w:val="en-US" w:eastAsia="ru-RU"/>
              </w:rPr>
              <w:t>RAL</w:t>
            </w:r>
            <w:r w:rsidRPr="00D016CD">
              <w:rPr>
                <w:rFonts w:ascii="Times New Roman" w:hAnsi="Times New Roman"/>
                <w:sz w:val="20"/>
                <w:szCs w:val="20"/>
                <w:lang w:eastAsia="ru-RU"/>
              </w:rPr>
              <w:t xml:space="preserve"> 7038</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Цвет ящиков</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 xml:space="preserve">серый </w:t>
            </w:r>
            <w:r w:rsidRPr="00D016CD">
              <w:rPr>
                <w:rFonts w:ascii="Times New Roman" w:hAnsi="Times New Roman"/>
                <w:sz w:val="20"/>
                <w:szCs w:val="20"/>
                <w:lang w:val="en-US" w:eastAsia="ru-RU"/>
              </w:rPr>
              <w:t>RAL</w:t>
            </w:r>
            <w:r w:rsidRPr="00D016CD">
              <w:rPr>
                <w:rFonts w:ascii="Times New Roman" w:hAnsi="Times New Roman"/>
                <w:sz w:val="20"/>
                <w:szCs w:val="20"/>
                <w:lang w:eastAsia="ru-RU"/>
              </w:rPr>
              <w:t xml:space="preserve"> 7038</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Покрытие</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порошковая окраска</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Наличие острых углов и граней</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lang w:eastAsia="ru-RU"/>
              </w:rPr>
              <w:t>не допускается</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Шкаф оборудован системой антиопрокидывания, не позволяющей выдвигать два ящика одновременно</w:t>
            </w:r>
          </w:p>
        </w:tc>
        <w:tc>
          <w:tcPr>
            <w:tcW w:w="2126" w:type="dxa"/>
            <w:vAlign w:val="center"/>
          </w:tcPr>
          <w:p w:rsidR="00AF07FA" w:rsidRPr="00D016CD" w:rsidRDefault="00AF07FA" w:rsidP="002077CB">
            <w:pPr>
              <w:spacing w:after="0" w:line="240" w:lineRule="auto"/>
              <w:jc w:val="center"/>
              <w:rPr>
                <w:rFonts w:ascii="Times New Roman" w:hAnsi="Times New Roman"/>
                <w:sz w:val="20"/>
                <w:szCs w:val="20"/>
                <w:lang w:eastAsia="ru-RU"/>
              </w:rPr>
            </w:pPr>
            <w:r w:rsidRPr="00D016CD">
              <w:rPr>
                <w:rFonts w:ascii="Times New Roman" w:hAnsi="Times New Roman"/>
                <w:sz w:val="20"/>
                <w:szCs w:val="20"/>
              </w:rPr>
              <w:t>наличие</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r w:rsidR="00AF07FA" w:rsidRPr="00D016CD" w:rsidTr="00AF07FA">
        <w:trPr>
          <w:trHeight w:val="260"/>
        </w:trPr>
        <w:tc>
          <w:tcPr>
            <w:tcW w:w="709" w:type="dxa"/>
            <w:vMerge/>
          </w:tcPr>
          <w:p w:rsidR="00AF07FA" w:rsidRPr="00D016CD" w:rsidRDefault="00AF07FA" w:rsidP="00AF07FA">
            <w:pPr>
              <w:numPr>
                <w:ilvl w:val="0"/>
                <w:numId w:val="20"/>
              </w:numPr>
              <w:spacing w:after="0" w:line="240" w:lineRule="auto"/>
              <w:ind w:left="34" w:right="175"/>
              <w:contextualSpacing/>
              <w:jc w:val="center"/>
              <w:rPr>
                <w:rFonts w:ascii="Times New Roman" w:hAnsi="Times New Roman"/>
                <w:sz w:val="20"/>
                <w:szCs w:val="20"/>
                <w:lang w:eastAsia="ru-RU"/>
              </w:rPr>
            </w:pPr>
          </w:p>
        </w:tc>
        <w:tc>
          <w:tcPr>
            <w:tcW w:w="1702" w:type="dxa"/>
            <w:vMerge/>
          </w:tcPr>
          <w:p w:rsidR="00AF07FA" w:rsidRPr="00D016CD" w:rsidRDefault="00AF07FA" w:rsidP="002077CB">
            <w:pPr>
              <w:spacing w:after="0" w:line="240" w:lineRule="auto"/>
              <w:rPr>
                <w:rFonts w:ascii="Times New Roman" w:hAnsi="Times New Roman"/>
                <w:sz w:val="20"/>
                <w:szCs w:val="20"/>
                <w:lang w:eastAsia="ru-RU"/>
              </w:rPr>
            </w:pPr>
          </w:p>
        </w:tc>
        <w:tc>
          <w:tcPr>
            <w:tcW w:w="1276" w:type="dxa"/>
            <w:noWrap/>
            <w:vAlign w:val="center"/>
          </w:tcPr>
          <w:p w:rsidR="00AF07FA" w:rsidRPr="00D016CD" w:rsidRDefault="00AF07FA" w:rsidP="00AF07FA">
            <w:pPr>
              <w:numPr>
                <w:ilvl w:val="0"/>
                <w:numId w:val="21"/>
              </w:numPr>
              <w:spacing w:after="0" w:line="240" w:lineRule="auto"/>
              <w:ind w:left="34" w:right="176"/>
              <w:contextualSpacing/>
              <w:jc w:val="center"/>
              <w:rPr>
                <w:rFonts w:ascii="Times New Roman" w:hAnsi="Times New Roman"/>
                <w:sz w:val="20"/>
                <w:szCs w:val="20"/>
                <w:lang w:eastAsia="ru-RU"/>
              </w:rPr>
            </w:pPr>
          </w:p>
        </w:tc>
        <w:tc>
          <w:tcPr>
            <w:tcW w:w="3544" w:type="dxa"/>
            <w:vAlign w:val="center"/>
          </w:tcPr>
          <w:p w:rsidR="00AF07FA" w:rsidRPr="00D016CD" w:rsidRDefault="00AF07FA" w:rsidP="002077CB">
            <w:pPr>
              <w:spacing w:after="0" w:line="240" w:lineRule="auto"/>
              <w:rPr>
                <w:rFonts w:ascii="Times New Roman" w:hAnsi="Times New Roman"/>
                <w:sz w:val="20"/>
                <w:szCs w:val="20"/>
                <w:lang w:eastAsia="ru-RU"/>
              </w:rPr>
            </w:pPr>
            <w:r w:rsidRPr="00D016CD">
              <w:rPr>
                <w:rFonts w:ascii="Times New Roman" w:hAnsi="Times New Roman"/>
                <w:sz w:val="20"/>
                <w:szCs w:val="20"/>
                <w:lang w:eastAsia="ru-RU"/>
              </w:rPr>
              <w:t>Гарантийный срок</w:t>
            </w:r>
          </w:p>
        </w:tc>
        <w:tc>
          <w:tcPr>
            <w:tcW w:w="2126" w:type="dxa"/>
            <w:vAlign w:val="center"/>
          </w:tcPr>
          <w:p w:rsidR="00AF07FA" w:rsidRPr="00D016CD" w:rsidRDefault="003A1CAE" w:rsidP="002077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00AF07FA" w:rsidRPr="00D016CD">
              <w:rPr>
                <w:rFonts w:ascii="Times New Roman" w:hAnsi="Times New Roman"/>
                <w:sz w:val="20"/>
                <w:szCs w:val="20"/>
                <w:lang w:eastAsia="ru-RU"/>
              </w:rPr>
              <w:t>60 месяцев</w:t>
            </w: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709"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417" w:type="dxa"/>
            <w:vMerge/>
          </w:tcPr>
          <w:p w:rsidR="00AF07FA" w:rsidRPr="00D016CD" w:rsidRDefault="00AF07FA" w:rsidP="002077CB">
            <w:pPr>
              <w:spacing w:after="0" w:line="240" w:lineRule="auto"/>
              <w:jc w:val="center"/>
              <w:rPr>
                <w:rFonts w:ascii="Times New Roman" w:hAnsi="Times New Roman"/>
                <w:sz w:val="20"/>
                <w:szCs w:val="20"/>
                <w:lang w:eastAsia="ru-RU"/>
              </w:rPr>
            </w:pPr>
          </w:p>
        </w:tc>
        <w:tc>
          <w:tcPr>
            <w:tcW w:w="127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991"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c>
          <w:tcPr>
            <w:tcW w:w="1136" w:type="dxa"/>
            <w:vMerge/>
            <w:shd w:val="clear" w:color="auto" w:fill="FFFFCC"/>
          </w:tcPr>
          <w:p w:rsidR="00AF07FA" w:rsidRPr="00D016CD" w:rsidRDefault="00AF07FA" w:rsidP="002077CB">
            <w:pPr>
              <w:spacing w:after="0" w:line="240" w:lineRule="auto"/>
              <w:jc w:val="center"/>
              <w:rPr>
                <w:rFonts w:ascii="Times New Roman" w:hAnsi="Times New Roman"/>
                <w:sz w:val="20"/>
                <w:szCs w:val="20"/>
                <w:lang w:eastAsia="ru-RU"/>
              </w:rPr>
            </w:pPr>
          </w:p>
        </w:tc>
      </w:tr>
    </w:tbl>
    <w:p w:rsidR="00AF07FA" w:rsidRPr="00762A4D" w:rsidRDefault="00AF07FA" w:rsidP="00AF07FA">
      <w:pPr>
        <w:rPr>
          <w:rFonts w:ascii="Times New Roman" w:hAnsi="Times New Roman" w:cs="Times New Roman"/>
          <w:b/>
          <w:sz w:val="28"/>
          <w:szCs w:val="28"/>
          <w:u w:val="single"/>
        </w:rPr>
      </w:pPr>
      <w:r w:rsidRPr="00762A4D">
        <w:rPr>
          <w:rFonts w:ascii="Times New Roman" w:hAnsi="Times New Roman" w:cs="Times New Roman"/>
          <w:b/>
          <w:sz w:val="28"/>
          <w:szCs w:val="28"/>
          <w:u w:val="single"/>
        </w:rPr>
        <w:t>Условия поставки Товара:</w:t>
      </w:r>
    </w:p>
    <w:p w:rsidR="00170252" w:rsidRDefault="00AF07FA" w:rsidP="00AF07FA">
      <w:pPr>
        <w:rPr>
          <w:rFonts w:ascii="Times New Roman" w:hAnsi="Times New Roman" w:cs="Times New Roman"/>
          <w:b/>
          <w:sz w:val="28"/>
          <w:szCs w:val="28"/>
        </w:rPr>
      </w:pPr>
      <w:r w:rsidRPr="00AF07FA">
        <w:rPr>
          <w:rFonts w:ascii="Times New Roman" w:hAnsi="Times New Roman" w:cs="Times New Roman"/>
          <w:b/>
          <w:sz w:val="28"/>
          <w:szCs w:val="28"/>
        </w:rPr>
        <w:t>Поставка товара включает в себя, в том числе доставку, погрузо-разгрузочные работы, подъем на этаж, сборку и установку Товара на территории Покупателя, вывоз и утилизацию упаковочного материала.</w:t>
      </w:r>
    </w:p>
    <w:p w:rsidR="00AF07FA" w:rsidRDefault="00AF07FA" w:rsidP="00AF07FA">
      <w:pPr>
        <w:spacing w:after="0" w:line="240" w:lineRule="auto"/>
        <w:rPr>
          <w:rFonts w:ascii="Times New Roman" w:hAnsi="Times New Roman"/>
          <w:b/>
          <w:sz w:val="28"/>
          <w:szCs w:val="28"/>
        </w:rPr>
      </w:pPr>
      <w:r w:rsidRPr="003F43D9">
        <w:rPr>
          <w:rFonts w:ascii="Times New Roman" w:hAnsi="Times New Roman"/>
          <w:b/>
          <w:sz w:val="28"/>
          <w:szCs w:val="28"/>
        </w:rPr>
        <w:t>* Дополнительные характеристики товара включен</w:t>
      </w:r>
      <w:r>
        <w:rPr>
          <w:rFonts w:ascii="Times New Roman" w:hAnsi="Times New Roman"/>
          <w:b/>
          <w:sz w:val="28"/>
          <w:szCs w:val="28"/>
        </w:rPr>
        <w:t>ы</w:t>
      </w:r>
      <w:r w:rsidRPr="003F43D9">
        <w:rPr>
          <w:rFonts w:ascii="Times New Roman" w:hAnsi="Times New Roman"/>
          <w:b/>
          <w:sz w:val="28"/>
          <w:szCs w:val="28"/>
        </w:rPr>
        <w:t xml:space="preserve"> в соответствии с пунктом 5 Правил использования каталога товаров, работ, услуг для обеспечения государственных и муниципальных нужд Постановления Российской Федерации от 08.02.2017 № 145. Необходимость включения дополнительных характеристик обусловлена потребностью заказчика в поставке товара надлежащего качества, соответствующего требованиям стандартизации и фа</w:t>
      </w:r>
      <w:r>
        <w:rPr>
          <w:rFonts w:ascii="Times New Roman" w:hAnsi="Times New Roman"/>
          <w:b/>
          <w:sz w:val="28"/>
          <w:szCs w:val="28"/>
        </w:rPr>
        <w:t>ктической потребности заказчика</w:t>
      </w:r>
      <w:r w:rsidR="003A1CAE">
        <w:rPr>
          <w:rFonts w:ascii="Times New Roman" w:hAnsi="Times New Roman"/>
          <w:b/>
          <w:sz w:val="28"/>
          <w:szCs w:val="28"/>
        </w:rPr>
        <w:t>.</w:t>
      </w:r>
    </w:p>
    <w:p w:rsidR="003A1CAE" w:rsidRPr="003722C6" w:rsidRDefault="00AF07FA" w:rsidP="00AF07FA">
      <w:pPr>
        <w:spacing w:after="0" w:line="240" w:lineRule="auto"/>
        <w:rPr>
          <w:rFonts w:ascii="Times New Roman" w:hAnsi="Times New Roman"/>
          <w:b/>
          <w:sz w:val="28"/>
          <w:szCs w:val="28"/>
        </w:rPr>
      </w:pPr>
      <w:r w:rsidRPr="003F43D9">
        <w:rPr>
          <w:rFonts w:ascii="Times New Roman" w:hAnsi="Times New Roman"/>
          <w:b/>
          <w:sz w:val="28"/>
          <w:szCs w:val="28"/>
        </w:rPr>
        <w:t>Дополнительные показатели</w:t>
      </w:r>
      <w:r>
        <w:rPr>
          <w:rFonts w:ascii="Times New Roman" w:hAnsi="Times New Roman"/>
          <w:b/>
          <w:sz w:val="28"/>
          <w:szCs w:val="28"/>
        </w:rPr>
        <w:t xml:space="preserve"> указаны</w:t>
      </w:r>
      <w:r w:rsidRPr="003F43D9">
        <w:rPr>
          <w:rFonts w:ascii="Times New Roman" w:hAnsi="Times New Roman"/>
          <w:b/>
          <w:sz w:val="28"/>
          <w:szCs w:val="28"/>
        </w:rPr>
        <w:t xml:space="preserve"> для уточнения необходимых параметров с целью всестороннего описания требуемых габаритов, конструкции, применяемых материалов и комплектации изделия, а также обеспечения его функциональности, прочности, долговечности, удобства пользования, увеличения срока эксплуатации</w:t>
      </w:r>
      <w:r w:rsidR="003A1CAE">
        <w:rPr>
          <w:rFonts w:ascii="Times New Roman" w:hAnsi="Times New Roman"/>
          <w:b/>
          <w:sz w:val="28"/>
          <w:szCs w:val="28"/>
        </w:rPr>
        <w:t>, в том числе</w:t>
      </w:r>
      <w:r w:rsidR="003A1CAE" w:rsidRPr="003A1CAE">
        <w:rPr>
          <w:rFonts w:ascii="Times New Roman" w:hAnsi="Times New Roman"/>
          <w:b/>
          <w:sz w:val="28"/>
          <w:szCs w:val="28"/>
        </w:rPr>
        <w:t>:</w:t>
      </w:r>
    </w:p>
    <w:p w:rsidR="003A1CAE" w:rsidRPr="003722C6" w:rsidRDefault="003A1CAE" w:rsidP="00AF07FA">
      <w:pPr>
        <w:spacing w:after="0" w:line="240" w:lineRule="auto"/>
        <w:rPr>
          <w:rFonts w:ascii="Times New Roman" w:hAnsi="Times New Roman"/>
          <w:b/>
          <w:sz w:val="28"/>
          <w:szCs w:val="28"/>
        </w:rPr>
      </w:pPr>
    </w:p>
    <w:p w:rsidR="00150D21" w:rsidRPr="00C1494C" w:rsidRDefault="003A1CAE" w:rsidP="003A1CAE">
      <w:pPr>
        <w:pStyle w:val="a7"/>
        <w:numPr>
          <w:ilvl w:val="0"/>
          <w:numId w:val="22"/>
        </w:numPr>
        <w:spacing w:after="0" w:line="240" w:lineRule="auto"/>
        <w:rPr>
          <w:rFonts w:ascii="Times New Roman" w:hAnsi="Times New Roman"/>
          <w:b/>
          <w:sz w:val="28"/>
          <w:szCs w:val="28"/>
        </w:rPr>
      </w:pPr>
      <w:r w:rsidRPr="00C1494C">
        <w:rPr>
          <w:rFonts w:ascii="Times New Roman" w:hAnsi="Times New Roman"/>
          <w:b/>
          <w:sz w:val="28"/>
          <w:szCs w:val="28"/>
        </w:rPr>
        <w:t xml:space="preserve">Выбор материала шкафов и ящиков, </w:t>
      </w:r>
      <w:r w:rsidR="00150D21" w:rsidRPr="00C1494C">
        <w:rPr>
          <w:rFonts w:ascii="Times New Roman" w:hAnsi="Times New Roman"/>
          <w:b/>
          <w:sz w:val="28"/>
          <w:szCs w:val="28"/>
        </w:rPr>
        <w:t>в том числе</w:t>
      </w:r>
      <w:r w:rsidR="001B7713" w:rsidRPr="00C1494C">
        <w:rPr>
          <w:rFonts w:ascii="Times New Roman" w:hAnsi="Times New Roman"/>
          <w:b/>
          <w:sz w:val="28"/>
          <w:szCs w:val="28"/>
        </w:rPr>
        <w:t xml:space="preserve"> в части указания толщины метала, тип</w:t>
      </w:r>
      <w:r w:rsidR="00780032">
        <w:rPr>
          <w:rFonts w:ascii="Times New Roman" w:hAnsi="Times New Roman"/>
          <w:b/>
          <w:sz w:val="28"/>
          <w:szCs w:val="28"/>
        </w:rPr>
        <w:t>а</w:t>
      </w:r>
      <w:r w:rsidR="001B7713" w:rsidRPr="00C1494C">
        <w:rPr>
          <w:rFonts w:ascii="Times New Roman" w:hAnsi="Times New Roman"/>
          <w:b/>
          <w:sz w:val="28"/>
          <w:szCs w:val="28"/>
        </w:rPr>
        <w:t xml:space="preserve"> конструкции шкафов и ящиков, направляющих и механизма крепления, </w:t>
      </w:r>
      <w:r w:rsidR="00762A4D">
        <w:rPr>
          <w:rFonts w:ascii="Times New Roman" w:hAnsi="Times New Roman"/>
          <w:b/>
          <w:sz w:val="28"/>
          <w:szCs w:val="28"/>
        </w:rPr>
        <w:t>наличия системы антиопрокидования (п.3 – п.5</w:t>
      </w:r>
      <w:r w:rsidR="00762A4D" w:rsidRPr="00762A4D">
        <w:rPr>
          <w:rFonts w:ascii="Times New Roman" w:hAnsi="Times New Roman"/>
          <w:b/>
          <w:sz w:val="28"/>
          <w:szCs w:val="28"/>
        </w:rPr>
        <w:t>;</w:t>
      </w:r>
      <w:r w:rsidR="00762A4D">
        <w:rPr>
          <w:rFonts w:ascii="Times New Roman" w:hAnsi="Times New Roman"/>
          <w:b/>
          <w:sz w:val="28"/>
          <w:szCs w:val="28"/>
        </w:rPr>
        <w:t xml:space="preserve"> п.7 – п.9</w:t>
      </w:r>
      <w:r w:rsidR="00762A4D" w:rsidRPr="00762A4D">
        <w:rPr>
          <w:rFonts w:ascii="Times New Roman" w:hAnsi="Times New Roman"/>
          <w:b/>
          <w:sz w:val="28"/>
          <w:szCs w:val="28"/>
        </w:rPr>
        <w:t>;</w:t>
      </w:r>
      <w:r w:rsidR="00762A4D">
        <w:rPr>
          <w:rFonts w:ascii="Times New Roman" w:hAnsi="Times New Roman"/>
          <w:b/>
          <w:sz w:val="28"/>
          <w:szCs w:val="28"/>
        </w:rPr>
        <w:t xml:space="preserve"> п.12- п.18 Технических характеристик), </w:t>
      </w:r>
      <w:r w:rsidR="001B7713" w:rsidRPr="00C1494C">
        <w:rPr>
          <w:rFonts w:ascii="Times New Roman" w:hAnsi="Times New Roman"/>
          <w:b/>
          <w:sz w:val="28"/>
          <w:szCs w:val="28"/>
        </w:rPr>
        <w:t>обусловлены</w:t>
      </w:r>
      <w:r w:rsidR="00150D21" w:rsidRPr="00C1494C">
        <w:rPr>
          <w:rFonts w:ascii="Times New Roman" w:hAnsi="Times New Roman"/>
          <w:b/>
          <w:sz w:val="28"/>
          <w:szCs w:val="28"/>
        </w:rPr>
        <w:t xml:space="preserve"> потребностью Заказчика </w:t>
      </w:r>
      <w:r w:rsidR="00EC3DD5" w:rsidRPr="00C1494C">
        <w:rPr>
          <w:rFonts w:ascii="Times New Roman" w:hAnsi="Times New Roman"/>
          <w:b/>
          <w:sz w:val="28"/>
          <w:szCs w:val="28"/>
        </w:rPr>
        <w:t>в Шкафах,</w:t>
      </w:r>
      <w:r w:rsidR="00150D21" w:rsidRPr="00C1494C">
        <w:rPr>
          <w:rFonts w:ascii="Times New Roman" w:hAnsi="Times New Roman"/>
          <w:b/>
          <w:sz w:val="28"/>
          <w:szCs w:val="28"/>
        </w:rPr>
        <w:t xml:space="preserve"> имеющих более долгий срок службы, а так же в повышенных требованиях Заказчика в части надежности конструкции</w:t>
      </w:r>
      <w:r w:rsidR="00762A4D">
        <w:rPr>
          <w:rFonts w:ascii="Times New Roman" w:hAnsi="Times New Roman"/>
          <w:b/>
          <w:sz w:val="28"/>
          <w:szCs w:val="28"/>
        </w:rPr>
        <w:t xml:space="preserve"> безопасности </w:t>
      </w:r>
      <w:r w:rsidR="00C1494C">
        <w:rPr>
          <w:rFonts w:ascii="Times New Roman" w:hAnsi="Times New Roman"/>
          <w:b/>
          <w:sz w:val="28"/>
          <w:szCs w:val="28"/>
        </w:rPr>
        <w:t>и удобства ее использования</w:t>
      </w:r>
      <w:r w:rsidR="00150D21" w:rsidRPr="00C1494C">
        <w:rPr>
          <w:rFonts w:ascii="Times New Roman" w:hAnsi="Times New Roman"/>
          <w:b/>
          <w:sz w:val="28"/>
          <w:szCs w:val="28"/>
        </w:rPr>
        <w:t>.</w:t>
      </w:r>
    </w:p>
    <w:p w:rsidR="00AF07FA" w:rsidRDefault="00150D21" w:rsidP="003A1CAE">
      <w:pPr>
        <w:pStyle w:val="a7"/>
        <w:numPr>
          <w:ilvl w:val="0"/>
          <w:numId w:val="22"/>
        </w:numPr>
        <w:spacing w:after="0" w:line="240" w:lineRule="auto"/>
        <w:rPr>
          <w:rFonts w:ascii="Times New Roman" w:hAnsi="Times New Roman"/>
          <w:b/>
          <w:sz w:val="28"/>
          <w:szCs w:val="28"/>
        </w:rPr>
      </w:pPr>
      <w:r>
        <w:rPr>
          <w:rFonts w:ascii="Times New Roman" w:hAnsi="Times New Roman"/>
          <w:b/>
          <w:sz w:val="28"/>
          <w:szCs w:val="28"/>
        </w:rPr>
        <w:t>Г</w:t>
      </w:r>
      <w:r w:rsidR="003A1CAE">
        <w:rPr>
          <w:rFonts w:ascii="Times New Roman" w:hAnsi="Times New Roman"/>
          <w:b/>
          <w:sz w:val="28"/>
          <w:szCs w:val="28"/>
        </w:rPr>
        <w:t>абаритные размеры шкафов и цвет обусловлены тем, что данные шкафы приобретаются в дополнение к уже имеющимся картотечным шкафам.</w:t>
      </w:r>
    </w:p>
    <w:p w:rsidR="001B7713" w:rsidRPr="001B7713" w:rsidRDefault="00150D21" w:rsidP="00762A4D">
      <w:pPr>
        <w:pStyle w:val="a7"/>
        <w:numPr>
          <w:ilvl w:val="0"/>
          <w:numId w:val="22"/>
        </w:numPr>
        <w:spacing w:after="0" w:line="240" w:lineRule="auto"/>
        <w:rPr>
          <w:rFonts w:ascii="Times New Roman" w:hAnsi="Times New Roman" w:cs="Times New Roman"/>
          <w:b/>
          <w:sz w:val="28"/>
          <w:szCs w:val="28"/>
        </w:rPr>
      </w:pPr>
      <w:r w:rsidRPr="00150D21">
        <w:rPr>
          <w:rFonts w:ascii="Times New Roman" w:hAnsi="Times New Roman"/>
          <w:b/>
          <w:sz w:val="28"/>
          <w:szCs w:val="28"/>
        </w:rPr>
        <w:t>Дополнительные характеристики в части указания внутреннего наполнения шкафов</w:t>
      </w:r>
      <w:r w:rsidR="00762A4D">
        <w:rPr>
          <w:rFonts w:ascii="Times New Roman" w:hAnsi="Times New Roman"/>
          <w:b/>
          <w:sz w:val="28"/>
          <w:szCs w:val="28"/>
        </w:rPr>
        <w:t xml:space="preserve"> (п.19 – п.24 </w:t>
      </w:r>
      <w:r w:rsidR="00762A4D" w:rsidRPr="00762A4D">
        <w:rPr>
          <w:rFonts w:ascii="Times New Roman" w:hAnsi="Times New Roman"/>
          <w:b/>
          <w:sz w:val="28"/>
          <w:szCs w:val="28"/>
        </w:rPr>
        <w:t>Технических характеристик</w:t>
      </w:r>
      <w:r w:rsidR="00762A4D">
        <w:rPr>
          <w:rFonts w:ascii="Times New Roman" w:hAnsi="Times New Roman"/>
          <w:b/>
          <w:sz w:val="28"/>
          <w:szCs w:val="28"/>
        </w:rPr>
        <w:t xml:space="preserve">) </w:t>
      </w:r>
      <w:r w:rsidRPr="00150D21">
        <w:rPr>
          <w:rFonts w:ascii="Times New Roman" w:hAnsi="Times New Roman"/>
          <w:b/>
          <w:sz w:val="28"/>
          <w:szCs w:val="28"/>
        </w:rPr>
        <w:t xml:space="preserve">обусловлены </w:t>
      </w:r>
      <w:r>
        <w:rPr>
          <w:rFonts w:ascii="Times New Roman" w:hAnsi="Times New Roman"/>
          <w:b/>
          <w:sz w:val="28"/>
          <w:szCs w:val="28"/>
        </w:rPr>
        <w:t>необходимостью хранения документов различного формата</w:t>
      </w:r>
      <w:r w:rsidR="001B7713">
        <w:rPr>
          <w:rFonts w:ascii="Times New Roman" w:hAnsi="Times New Roman"/>
          <w:b/>
          <w:sz w:val="28"/>
          <w:szCs w:val="28"/>
        </w:rPr>
        <w:t>.</w:t>
      </w:r>
    </w:p>
    <w:p w:rsidR="00C1494C" w:rsidRPr="00762A4D" w:rsidRDefault="00C1494C" w:rsidP="00B47D17">
      <w:pPr>
        <w:pStyle w:val="a7"/>
        <w:numPr>
          <w:ilvl w:val="0"/>
          <w:numId w:val="22"/>
        </w:numPr>
        <w:spacing w:after="0" w:line="240" w:lineRule="auto"/>
        <w:rPr>
          <w:rFonts w:ascii="Times New Roman" w:hAnsi="Times New Roman" w:cs="Times New Roman"/>
          <w:b/>
          <w:sz w:val="28"/>
          <w:szCs w:val="28"/>
        </w:rPr>
      </w:pPr>
      <w:r>
        <w:rPr>
          <w:rFonts w:ascii="Times New Roman" w:hAnsi="Times New Roman"/>
          <w:b/>
          <w:sz w:val="28"/>
          <w:szCs w:val="28"/>
        </w:rPr>
        <w:t>Отсутствие замка обусловлено тем, что сотрудники должны иметь полный и свободный доступ к картотекам.</w:t>
      </w:r>
    </w:p>
    <w:p w:rsidR="00762A4D" w:rsidRPr="00C1494C" w:rsidRDefault="00762A4D" w:rsidP="00B47D17">
      <w:pPr>
        <w:pStyle w:val="a7"/>
        <w:numPr>
          <w:ilvl w:val="0"/>
          <w:numId w:val="22"/>
        </w:numPr>
        <w:spacing w:after="0" w:line="240" w:lineRule="auto"/>
        <w:rPr>
          <w:rFonts w:ascii="Times New Roman" w:hAnsi="Times New Roman" w:cs="Times New Roman"/>
          <w:b/>
          <w:sz w:val="28"/>
          <w:szCs w:val="28"/>
        </w:rPr>
      </w:pPr>
      <w:r>
        <w:rPr>
          <w:rFonts w:ascii="Times New Roman" w:hAnsi="Times New Roman"/>
          <w:b/>
          <w:sz w:val="28"/>
          <w:szCs w:val="28"/>
        </w:rPr>
        <w:t xml:space="preserve">Дополнительные характеристики в части указания способа окраски </w:t>
      </w:r>
      <w:r w:rsidR="00EE7CCD">
        <w:rPr>
          <w:rFonts w:ascii="Times New Roman" w:hAnsi="Times New Roman"/>
          <w:b/>
          <w:sz w:val="28"/>
          <w:szCs w:val="28"/>
        </w:rPr>
        <w:t>обусловлены потребностью Заказчика в товаре</w:t>
      </w:r>
      <w:r w:rsidR="00780032">
        <w:rPr>
          <w:rFonts w:ascii="Times New Roman" w:hAnsi="Times New Roman"/>
          <w:b/>
          <w:sz w:val="28"/>
          <w:szCs w:val="28"/>
        </w:rPr>
        <w:t>,</w:t>
      </w:r>
      <w:r w:rsidR="00EE7CCD">
        <w:rPr>
          <w:rFonts w:ascii="Times New Roman" w:hAnsi="Times New Roman"/>
          <w:b/>
          <w:sz w:val="28"/>
          <w:szCs w:val="28"/>
        </w:rPr>
        <w:t xml:space="preserve"> имеющем определенными качественными характеристиками, к качеству исполнения самой окраски, к ее защитным и декоративным свойствам.   </w:t>
      </w:r>
      <w:r>
        <w:rPr>
          <w:rFonts w:ascii="Times New Roman" w:hAnsi="Times New Roman"/>
          <w:b/>
          <w:sz w:val="28"/>
          <w:szCs w:val="28"/>
        </w:rPr>
        <w:t xml:space="preserve">  </w:t>
      </w:r>
    </w:p>
    <w:p w:rsidR="00AF07FA" w:rsidRPr="001B7713" w:rsidRDefault="00AF07FA" w:rsidP="00EE7BD3">
      <w:pPr>
        <w:pStyle w:val="a7"/>
        <w:spacing w:after="0" w:line="240" w:lineRule="auto"/>
        <w:rPr>
          <w:rFonts w:ascii="Times New Roman" w:hAnsi="Times New Roman" w:cs="Times New Roman"/>
          <w:b/>
          <w:sz w:val="28"/>
          <w:szCs w:val="28"/>
        </w:rPr>
      </w:pPr>
    </w:p>
    <w:p w:rsidR="001B7713" w:rsidRDefault="001B7713" w:rsidP="001B7713">
      <w:pPr>
        <w:spacing w:after="0" w:line="240" w:lineRule="auto"/>
        <w:rPr>
          <w:rFonts w:ascii="Times New Roman" w:hAnsi="Times New Roman" w:cs="Times New Roman"/>
          <w:b/>
          <w:sz w:val="28"/>
          <w:szCs w:val="28"/>
        </w:rPr>
      </w:pPr>
    </w:p>
    <w:p w:rsidR="001B7713" w:rsidRDefault="001B7713" w:rsidP="001B7713">
      <w:pPr>
        <w:spacing w:after="0" w:line="240" w:lineRule="auto"/>
        <w:rPr>
          <w:rFonts w:ascii="Times New Roman" w:hAnsi="Times New Roman" w:cs="Times New Roman"/>
          <w:b/>
          <w:sz w:val="28"/>
          <w:szCs w:val="28"/>
        </w:rPr>
      </w:pPr>
    </w:p>
    <w:p w:rsidR="001B7713" w:rsidRPr="001B7713" w:rsidRDefault="001B7713" w:rsidP="001B7713">
      <w:pPr>
        <w:spacing w:after="0" w:line="240" w:lineRule="auto"/>
        <w:rPr>
          <w:rFonts w:ascii="Times New Roman" w:hAnsi="Times New Roman" w:cs="Times New Roman"/>
          <w:b/>
          <w:sz w:val="28"/>
          <w:szCs w:val="28"/>
        </w:rPr>
      </w:pPr>
    </w:p>
    <w:sectPr w:rsidR="001B7713" w:rsidRPr="001B7713" w:rsidSect="003A1CAE">
      <w:headerReference w:type="first" r:id="rId17"/>
      <w:footerReference w:type="first" r:id="rId18"/>
      <w:pgSz w:w="16838" w:h="11906" w:orient="landscape"/>
      <w:pgMar w:top="851" w:right="538"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C2" w:rsidRDefault="000718C2">
      <w:pPr>
        <w:spacing w:after="0" w:line="240" w:lineRule="auto"/>
      </w:pPr>
      <w:r>
        <w:separator/>
      </w:r>
    </w:p>
  </w:endnote>
  <w:endnote w:type="continuationSeparator" w:id="0">
    <w:p w:rsidR="000718C2" w:rsidRDefault="0007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7D2" w:rsidRDefault="004727D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727D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727D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727D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7D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C2" w:rsidRDefault="000718C2">
      <w:pPr>
        <w:spacing w:after="0" w:line="240" w:lineRule="auto"/>
      </w:pPr>
      <w:r>
        <w:separator/>
      </w:r>
    </w:p>
  </w:footnote>
  <w:footnote w:type="continuationSeparator" w:id="0">
    <w:p w:rsidR="000718C2" w:rsidRDefault="000718C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7D2" w:rsidRDefault="004727D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7D2" w:rsidRDefault="004727D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7D2" w:rsidRDefault="004727D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A6"/>
    <w:multiLevelType w:val="hybridMultilevel"/>
    <w:tmpl w:val="D08E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3510D3D"/>
    <w:multiLevelType w:val="hybridMultilevel"/>
    <w:tmpl w:val="0D06ED4C"/>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CA02B3"/>
    <w:multiLevelType w:val="hybridMultilevel"/>
    <w:tmpl w:val="7076EAA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4"/>
  </w:num>
  <w:num w:numId="5">
    <w:abstractNumId w:val="16"/>
  </w:num>
  <w:num w:numId="6">
    <w:abstractNumId w:val="12"/>
  </w:num>
  <w:num w:numId="7">
    <w:abstractNumId w:val="3"/>
  </w:num>
  <w:num w:numId="8">
    <w:abstractNumId w:val="19"/>
  </w:num>
  <w:num w:numId="9">
    <w:abstractNumId w:val="2"/>
  </w:num>
  <w:num w:numId="10">
    <w:abstractNumId w:val="18"/>
  </w:num>
  <w:num w:numId="11">
    <w:abstractNumId w:val="21"/>
  </w:num>
  <w:num w:numId="12">
    <w:abstractNumId w:val="11"/>
  </w:num>
  <w:num w:numId="13">
    <w:abstractNumId w:val="5"/>
  </w:num>
  <w:num w:numId="14">
    <w:abstractNumId w:val="9"/>
  </w:num>
  <w:num w:numId="15">
    <w:abstractNumId w:val="20"/>
  </w:num>
  <w:num w:numId="16">
    <w:abstractNumId w:val="15"/>
  </w:num>
  <w:num w:numId="17">
    <w:abstractNumId w:val="8"/>
  </w:num>
  <w:num w:numId="18">
    <w:abstractNumId w:val="7"/>
  </w:num>
  <w:num w:numId="19">
    <w:abstractNumId w:val="17"/>
  </w:num>
  <w:num w:numId="20">
    <w:abstractNumId w:val="10"/>
  </w:num>
  <w:num w:numId="21">
    <w:abstractNumId w:val="13"/>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18C2"/>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0D21"/>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B7713"/>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22C6"/>
    <w:rsid w:val="003747A7"/>
    <w:rsid w:val="00381F8E"/>
    <w:rsid w:val="00391C92"/>
    <w:rsid w:val="0039429B"/>
    <w:rsid w:val="003A1CAE"/>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7D2"/>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2279"/>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2A4D"/>
    <w:rsid w:val="00766A7E"/>
    <w:rsid w:val="00770DBE"/>
    <w:rsid w:val="00780032"/>
    <w:rsid w:val="00781335"/>
    <w:rsid w:val="007837E5"/>
    <w:rsid w:val="00786E1B"/>
    <w:rsid w:val="007922BC"/>
    <w:rsid w:val="007B5155"/>
    <w:rsid w:val="007B631D"/>
    <w:rsid w:val="007B64E3"/>
    <w:rsid w:val="007C20A6"/>
    <w:rsid w:val="007C214E"/>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07FA"/>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1494C"/>
    <w:rsid w:val="00C22E6F"/>
    <w:rsid w:val="00C35CC7"/>
    <w:rsid w:val="00C368D3"/>
    <w:rsid w:val="00C505E8"/>
    <w:rsid w:val="00C56C90"/>
    <w:rsid w:val="00C5783B"/>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DD5"/>
    <w:rsid w:val="00EC3EA8"/>
    <w:rsid w:val="00ED2F34"/>
    <w:rsid w:val="00EE2E62"/>
    <w:rsid w:val="00EE4AA9"/>
    <w:rsid w:val="00EE6B83"/>
    <w:rsid w:val="00EE7BD3"/>
    <w:rsid w:val="00EE7CCD"/>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DCBB-65E6-4223-B832-B248C7D4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2022-10-06T13:22:00Z</dcterms:created>
  <dcterms:modified xsi:type="dcterms:W3CDTF">2022-10-06T13:22:00Z</dcterms:modified>
</cp:coreProperties>
</file>