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14.02.2020 № 05-07/133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556B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60 (шестидесяти) календарных дней после поступления письменной заявки от Покупателя. Последняя дата подачи заявки на поставку 01.10.2020.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20 (двадцати)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медицинское изделие</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70 %</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05.02.2015 N 102</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5525F5">
          <w:headerReference w:type="first" r:id="rId16"/>
          <w:footerReference w:type="first" r:id="rId17"/>
          <w:pgSz w:w="16838" w:h="11906" w:orient="landscape"/>
          <w:pgMar w:top="568" w:right="567" w:bottom="85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857"/>
        <w:gridCol w:w="4868"/>
        <w:gridCol w:w="1333"/>
        <w:gridCol w:w="903"/>
        <w:gridCol w:w="826"/>
        <w:gridCol w:w="1443"/>
        <w:gridCol w:w="904"/>
        <w:gridCol w:w="1199"/>
        <w:gridCol w:w="1199"/>
      </w:tblGrid>
      <w:tr w:rsidR="00255DBF" w:rsidRPr="00255DBF" w:rsidTr="005E5A24">
        <w:trPr>
          <w:trHeight w:val="20"/>
          <w:jc w:val="center"/>
        </w:trPr>
        <w:tc>
          <w:tcPr>
            <w:tcW w:w="131" w:type="pct"/>
            <w:noWrap/>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w:t>
            </w:r>
          </w:p>
        </w:tc>
        <w:tc>
          <w:tcPr>
            <w:tcW w:w="896"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Наименование Товара</w:t>
            </w:r>
          </w:p>
        </w:tc>
        <w:tc>
          <w:tcPr>
            <w:tcW w:w="1526"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Технические характеристики</w:t>
            </w:r>
          </w:p>
        </w:tc>
        <w:tc>
          <w:tcPr>
            <w:tcW w:w="418"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Код ОКПД 2/КТРУ</w:t>
            </w:r>
          </w:p>
        </w:tc>
        <w:tc>
          <w:tcPr>
            <w:tcW w:w="283"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Ед. изм.</w:t>
            </w:r>
          </w:p>
        </w:tc>
        <w:tc>
          <w:tcPr>
            <w:tcW w:w="259"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 xml:space="preserve">Кол-во </w:t>
            </w:r>
          </w:p>
        </w:tc>
        <w:tc>
          <w:tcPr>
            <w:tcW w:w="452" w:type="pct"/>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Страна производства</w:t>
            </w: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НДС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 xml:space="preserve">Цена за ед. </w:t>
            </w:r>
          </w:p>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 xml:space="preserve">Товара с </w:t>
            </w:r>
          </w:p>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lang w:eastAsia="ru-RU"/>
              </w:rPr>
              <w:t>НДС (руб.)</w:t>
            </w:r>
          </w:p>
        </w:tc>
        <w:tc>
          <w:tcPr>
            <w:tcW w:w="376" w:type="pct"/>
            <w:shd w:val="clear" w:color="000000" w:fill="FFFF00"/>
            <w:noWrap/>
            <w:vAlign w:val="bottom"/>
            <w:hideMark/>
          </w:tcPr>
          <w:p w:rsidR="00255DBF" w:rsidRPr="00255DBF" w:rsidRDefault="00255DBF" w:rsidP="00255D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55DBF">
              <w:rPr>
                <w:rFonts w:ascii="Times New Roman" w:eastAsia="Times New Roman" w:hAnsi="Times New Roman" w:cs="Times New Roman"/>
                <w:b/>
                <w:sz w:val="20"/>
                <w:szCs w:val="20"/>
                <w:lang w:eastAsia="ru-RU"/>
              </w:rPr>
              <w:t> </w:t>
            </w:r>
            <w:r w:rsidRPr="00255DBF">
              <w:rPr>
                <w:rFonts w:ascii="Times New Roman" w:eastAsia="Times New Roman" w:hAnsi="Times New Roman" w:cs="Times New Roman"/>
                <w:b/>
                <w:sz w:val="20"/>
                <w:szCs w:val="20"/>
              </w:rPr>
              <w:t xml:space="preserve">Сумма с </w:t>
            </w:r>
          </w:p>
          <w:p w:rsidR="00255DBF" w:rsidRPr="00255DBF" w:rsidRDefault="00255DBF" w:rsidP="00255DBF">
            <w:pPr>
              <w:spacing w:after="0" w:line="240" w:lineRule="auto"/>
              <w:jc w:val="both"/>
              <w:rPr>
                <w:rFonts w:ascii="Times New Roman" w:eastAsia="Times New Roman" w:hAnsi="Times New Roman" w:cs="Times New Roman"/>
                <w:b/>
                <w:sz w:val="20"/>
                <w:szCs w:val="20"/>
                <w:lang w:eastAsia="ru-RU"/>
              </w:rPr>
            </w:pPr>
            <w:r w:rsidRPr="00255DBF">
              <w:rPr>
                <w:rFonts w:ascii="Times New Roman" w:eastAsia="Times New Roman" w:hAnsi="Times New Roman" w:cs="Times New Roman"/>
                <w:b/>
                <w:sz w:val="20"/>
                <w:szCs w:val="20"/>
              </w:rPr>
              <w:t>НДС (руб.)</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Агар Уриселект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Среда питательная должна быть предназначена для выделения и подсчета микроорганизмов из мочевого тракта. Форма среды должна быть дегидратированный порошок. В состав среды должны входить: - богатая питательная основа, содержащая пептоны, необходимые для роста всех патогенов мочевыводящего тракта; - два хромогенных субстрата для обнаружения бактериальных ферментов β-галактозидаз и β-глюкуронидазы; триптофан для обнаружения триптофаназной активности (продукция индола и триптофан дезаминазной активности (TDA). В упаковке должно быть не менее 500 г.</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Агар Эндо</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Питательная дифференциально-диагностическая среда должна быть предназначена для выделения энтеробактерий из клинического материала. Порошок должен быть светло-розового цвета, рассыпчатый, однородный в герметичной упаковке. Фасовка должна быть не менее 0,25 кг.</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кг</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3</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Аланинаминотрансфераза</w:t>
            </w:r>
            <w:r w:rsidRPr="00255DBF">
              <w:rPr>
                <w:rFonts w:ascii="Times New Roman" w:eastAsia="Times New Roman" w:hAnsi="Times New Roman" w:cs="Times New Roman"/>
                <w:b/>
                <w:bCs/>
                <w:sz w:val="20"/>
                <w:szCs w:val="20"/>
                <w:lang w:val="en-US"/>
              </w:rPr>
              <w:t xml:space="preserve"> (</w:t>
            </w:r>
            <w:r w:rsidRPr="00255DBF">
              <w:rPr>
                <w:rFonts w:ascii="Times New Roman" w:eastAsia="Times New Roman" w:hAnsi="Times New Roman" w:cs="Times New Roman"/>
                <w:b/>
                <w:bCs/>
                <w:sz w:val="20"/>
                <w:szCs w:val="20"/>
              </w:rPr>
              <w:t>АЛТ</w:t>
            </w:r>
            <w:r w:rsidRPr="00255DBF">
              <w:rPr>
                <w:rFonts w:ascii="Times New Roman" w:eastAsia="Times New Roman" w:hAnsi="Times New Roman" w:cs="Times New Roman"/>
                <w:b/>
                <w:bCs/>
                <w:sz w:val="20"/>
                <w:szCs w:val="20"/>
                <w:lang w:val="en-US"/>
              </w:rPr>
              <w:t xml:space="preserve">)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Реагент должен быть предназначен для определения Аланинаминотрансфераза (АЛТ) колориметрическим методом в сыворотке и плазме крови человека. Должен быть рассчитан не менее чем на 3621 определений. Совместимость с системой ARCHITECT, имеющейся у Заказчика.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4</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Аспартатаминотрансфераза</w:t>
            </w:r>
            <w:r w:rsidRPr="00255DBF">
              <w:rPr>
                <w:rFonts w:ascii="Times New Roman" w:eastAsia="Times New Roman" w:hAnsi="Times New Roman" w:cs="Times New Roman"/>
                <w:b/>
                <w:bCs/>
                <w:sz w:val="20"/>
                <w:szCs w:val="20"/>
                <w:lang w:val="en-US"/>
              </w:rPr>
              <w:t xml:space="preserve"> (</w:t>
            </w:r>
            <w:r w:rsidRPr="00255DBF">
              <w:rPr>
                <w:rFonts w:ascii="Times New Roman" w:eastAsia="Times New Roman" w:hAnsi="Times New Roman" w:cs="Times New Roman"/>
                <w:b/>
                <w:bCs/>
                <w:sz w:val="20"/>
                <w:szCs w:val="20"/>
              </w:rPr>
              <w:t>АСТ</w:t>
            </w:r>
            <w:r w:rsidRPr="00255DBF">
              <w:rPr>
                <w:rFonts w:ascii="Times New Roman" w:eastAsia="Times New Roman" w:hAnsi="Times New Roman" w:cs="Times New Roman"/>
                <w:b/>
                <w:bCs/>
                <w:sz w:val="20"/>
                <w:szCs w:val="20"/>
                <w:lang w:val="en-US"/>
              </w:rPr>
              <w:t xml:space="preserve">)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для определения активности GOT(АСТ) в сыворотке и плазме крови. Должен быть рассчитан на не менее чем 3621 определений. Совместимость с системой ARCHITECT, имеющейся у Заказчика.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5</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Гамма-глутамилтрансфераза реагенты для клинической биохимии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должен быть для количественного определения активности гамма-глутамилтрансферазы в сыворотке и плазме. Метод: Колориметрический. Состав: R1 Буфер (Глицилглицин 150 ммоль/л, рН 7.7) R2 Субстрат (L-y-глутамил-3-карбокси-4-нитроанилид 6.0 ммоль/л). Стабильность: вскрытый R1 и R2 должен быть cтабилен на борту анализатора не менее 28 дней. Фасовка должна быть R1 не менее 6x17,5 мл, R2 не менее 6x3,5 мл.</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6</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Гамма-глутамилтрансфераза (ГГТ)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Реагент должен быть предназначен для определения ГГТ колориметрическим методом в сыворотке и плазме крови человека. Должен быть рассчитан на не менее чем 1500 определений. Совместимость с системой ARCHITECT, имеющейся у Заказчика.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4</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7</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Контроль КФК-МВ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Реагент для проведения контроля качества определений креатинфосфокиназы (общей и МБ фракции). Состав: лиофилизированный, компоненты человеческой сыворотки. Стабильность: разведенный контроль стабилен 5 дней при температуре +4°С или 4 недели при -20°C. Фасовка: 10x2 мл.</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8</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Липаза</w:t>
            </w:r>
            <w:r w:rsidRPr="00255DBF">
              <w:rPr>
                <w:rFonts w:ascii="Times New Roman" w:eastAsia="Times New Roman" w:hAnsi="Times New Roman" w:cs="Times New Roman"/>
                <w:b/>
                <w:bCs/>
                <w:sz w:val="20"/>
                <w:szCs w:val="20"/>
                <w:lang w:val="en-US"/>
              </w:rPr>
              <w:t xml:space="preserve"> </w:t>
            </w:r>
            <w:r w:rsidRPr="00255DBF">
              <w:rPr>
                <w:rFonts w:ascii="Times New Roman" w:eastAsia="Times New Roman" w:hAnsi="Times New Roman" w:cs="Times New Roman"/>
                <w:b/>
                <w:bCs/>
                <w:sz w:val="20"/>
                <w:szCs w:val="20"/>
              </w:rPr>
              <w:t>калибратор</w:t>
            </w:r>
            <w:r w:rsidRPr="00255DBF">
              <w:rPr>
                <w:rFonts w:ascii="Times New Roman" w:eastAsia="Times New Roman" w:hAnsi="Times New Roman" w:cs="Times New Roman"/>
                <w:b/>
                <w:bCs/>
                <w:sz w:val="20"/>
                <w:szCs w:val="20"/>
                <w:lang w:val="en-US"/>
              </w:rPr>
              <w:t xml:space="preserve"> -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Липаза калибратор. Набор реагентов должен быть  предназначен для проведения калибровки теста Lipase. Состав набора: не менее 2 флаконов объемом не более 3 мл каждый, с буферизованным раствором, содержащим очищенную панкреатическую липазу человека. Должен быть совместим с системой ARCHITECT, имеющейся у Заказчика.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9</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Липаза, реагент для определения (LIPASE)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реагентов должен быть предназначен для количественного определения липазы в сыворотке и плазме человека кинетическим колориметрическим методом. Диапазон линейности должен быть от 3 до 600 Е/л, включая границы диапазона. Упаковка должна быть рассчитана на проведение не менее 180 тестов. Фасовка набора должна быть следующей: 4 по 10 мл R1 Буфер + 4 R1 Лио + 4 по 3,3 мл R2 + 2 калибратора.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3</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10</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Набор реагентов  АмплиСенс Pneumocystis jirovecii (carinii)</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реагентов для выявления ДНК Pneumocystis jirovecii, должен быть предназначен для амплификации ДНК Pneumocystisjirovecii (carinii) гибридизационно-флуоресцентная детекция продуктов амплификации в режиме «реального времени» Должно быть использование внутреннего контроля на всех этапах ПЦР анализа. ПЦР-смесь-1 должна быть не раскапана по пробиркам. Должно быть наличие: ПЦР-буфера-FRT, полимеразы (TaqF) для организации горячего старта, комплекта калибровочных образцов ПКО и ВКО, комплексного положительного контрольного образца (ПКО), включающего в себя ДНК Pneumocystisjirovecii (carinii) и ДНК человека, ДНК-буфера. Должен быть рассчитан на количество проб не менее 55.</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21.10.60.196</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11</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Основа колумбийского агара </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Неселективная питательная среда Колумбийский агар, дополнительно не содержащая кровь, предназначенная для выращивания и изоляции микроорганизмов из клинического образца.  Масса питательной среды 500 Грамм. Форма выпуска Порошок</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20.59.52.140-00000212</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4</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12</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Палочка-тампон с ватным намотом медицинская стерильная в упаковках, хлопок/дерево, р. S</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Кусок впитывающего материала (например, ваты или поролона) на деревянной  ручке. Предназначен для нанесения лекарственных мазей или растворов, удаления различных материалов или сбора бактерий. Палочка должна быть размера S для удобства взятия материала на ограниченном участке. Изделие должно быть в стерильной упаковке для предотвращения контаминации.</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21.20.24.150-00000013</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2 000</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722FAF">
        <w:trPr>
          <w:trHeight w:val="186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13</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Панкреатическая амилаза реагент</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Панкреатическая амилаза реагент. Набор реагентов должен быть предназначен для ферментного колориметрического определения панкреатической амилазы в сыворотке и плазме крови человека. Должен быть рассчитан на не менее 296 определений. Совместимость с системой ARCHITECT, имеющейся у Заказчика.</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20.59.52.199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722FAF">
        <w:trPr>
          <w:trHeight w:val="135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14</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Питательная среда для выделения стафилококков сухая (Элективный солевой агар)</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Селективная питательная среда, солевой агар базовый, предназначенная для выращивания и изоляции видов Staphylococcus, выделенных из клинического образца Масса питательной среды: 250 Грамм</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20.59.52.140-00000269</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15</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Питательный бульон для культивирования микроорганизмов сухой (ГМФ-бульон)</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Питательный бульон, питательная среда, предназначенная для поддержания и усиления роста неприхотливых микроорганизмов в клиническом образце Масса питательной среды: 250 Грамм Форма выпуска: Порошок. Питательный бульон должен быть на основе гидролизата мяса говяжьего, что позволит проводить культивирования различных микроорганизмов, таких как: энтеробактерии, синегнойная палочка, стафилококки.</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20.59.52.140-00000145</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722FAF">
            <w:pPr>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722FAF">
        <w:trPr>
          <w:trHeight w:val="1257"/>
          <w:jc w:val="center"/>
        </w:trPr>
        <w:tc>
          <w:tcPr>
            <w:tcW w:w="131" w:type="pct"/>
            <w:noWrap/>
            <w:hideMark/>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16</w:t>
            </w:r>
          </w:p>
        </w:tc>
        <w:tc>
          <w:tcPr>
            <w:tcW w:w="896" w:type="pct"/>
            <w:hideMark/>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Пробирка с гелем Stuart  с тампоном</w:t>
            </w:r>
          </w:p>
        </w:tc>
        <w:tc>
          <w:tcPr>
            <w:tcW w:w="1526"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Тампон-зонд, должен быть с транспортной средой с пластиковым аппликатором, стерильный, в пробирке. Транспортная среда должна представлять собой полужидкий, бедный питательными веществами субстрат и предназначена должна быть для сохранения и транспортировки широкого спектра микроорганизмов, таких как Neisseria gonorrhoeae, Haemophilus influenzae, Salmonella. Длина не более 155 мм, Диаметр аппликатора не более 2,5 мм. Диаметр головки не более 5 мм.</w:t>
            </w:r>
          </w:p>
        </w:tc>
        <w:tc>
          <w:tcPr>
            <w:tcW w:w="418" w:type="pct"/>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w:t>
            </w:r>
          </w:p>
        </w:tc>
        <w:tc>
          <w:tcPr>
            <w:tcW w:w="283"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hideMark/>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2 000</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c>
          <w:tcPr>
            <w:tcW w:w="376" w:type="pct"/>
            <w:shd w:val="clear" w:color="000000" w:fill="FFFF00"/>
            <w:noWrap/>
            <w:vAlign w:val="bottom"/>
            <w:hideMark/>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r w:rsidRPr="00255DBF">
              <w:rPr>
                <w:rFonts w:ascii="Times New Roman" w:eastAsia="Times New Roman" w:hAnsi="Times New Roman" w:cs="Times New Roman"/>
                <w:sz w:val="20"/>
                <w:szCs w:val="20"/>
                <w:lang w:eastAsia="ru-RU"/>
              </w:rPr>
              <w:t> </w:t>
            </w: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17</w:t>
            </w:r>
          </w:p>
        </w:tc>
        <w:tc>
          <w:tcPr>
            <w:tcW w:w="896" w:type="pct"/>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ДНК</w:t>
            </w:r>
            <w:r w:rsidRPr="00255DBF">
              <w:rPr>
                <w:rFonts w:ascii="Times New Roman" w:eastAsia="Times New Roman" w:hAnsi="Times New Roman" w:cs="Times New Roman"/>
                <w:b/>
                <w:bCs/>
                <w:sz w:val="20"/>
                <w:szCs w:val="20"/>
                <w:lang w:val="en-US"/>
              </w:rPr>
              <w:t xml:space="preserve"> Acinetobacter</w:t>
            </w:r>
            <w:r w:rsidRPr="00255DBF">
              <w:rPr>
                <w:rFonts w:ascii="Times New Roman" w:eastAsia="Times New Roman" w:hAnsi="Times New Roman" w:cs="Times New Roman"/>
                <w:b/>
                <w:bCs/>
                <w:sz w:val="20"/>
                <w:szCs w:val="20"/>
              </w:rPr>
              <w:t xml:space="preserve"> </w:t>
            </w:r>
            <w:r w:rsidRPr="00255DBF">
              <w:rPr>
                <w:rFonts w:ascii="Times New Roman" w:eastAsia="Times New Roman" w:hAnsi="Times New Roman" w:cs="Times New Roman"/>
                <w:b/>
                <w:bCs/>
                <w:sz w:val="20"/>
                <w:szCs w:val="20"/>
                <w:lang w:val="en-US"/>
              </w:rPr>
              <w:t>baumannii/Stenotrophomonas  5601</w:t>
            </w:r>
          </w:p>
        </w:tc>
        <w:tc>
          <w:tcPr>
            <w:tcW w:w="1526"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реагентов для одновременного выявления в одной пробе ДНК  Acinetobacter baumannii и Stenotrophomonas maltophilia методом ПЦР в режиме реального времени. Количество исследуемых образцов должно быть не менее 96 штук, включая контрольные. Набор должен представлять собой готовую реакционную смесь (лиофильно высушенную). Добавление в готовую сухую ПЦР - смесь не менее 50 мкл выделенного нуклеотидного материала. Единый протокол амплификации для всех наборов для ПЦР диагностики.</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21.10.60.196</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18</w:t>
            </w:r>
          </w:p>
        </w:tc>
        <w:tc>
          <w:tcPr>
            <w:tcW w:w="896" w:type="pct"/>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ДНК</w:t>
            </w:r>
            <w:r w:rsidRPr="00255DBF">
              <w:rPr>
                <w:rFonts w:ascii="Times New Roman" w:eastAsia="Times New Roman" w:hAnsi="Times New Roman" w:cs="Times New Roman"/>
                <w:b/>
                <w:bCs/>
                <w:sz w:val="20"/>
                <w:szCs w:val="20"/>
                <w:lang w:val="en-US"/>
              </w:rPr>
              <w:t xml:space="preserve"> Candida albicans /Fungi </w:t>
            </w:r>
          </w:p>
        </w:tc>
        <w:tc>
          <w:tcPr>
            <w:tcW w:w="1526"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реагентов должен быть предназначен для одновременного выявления в одной пробе ДНК Candida albicans и cуммарной ДНК грибов (Fungi) методом ПЦР в реальном времени. Состав набора должен содержать: компоненты для полимеразной цепной реакции. Форма реакционной смеси для ПЦР должна представляет собой лиофилизированную готовую реакционную смесь. Количество определений -не менее 96. Объем образца -не менее 50 мкл</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21.10.60.196</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упак</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19</w:t>
            </w:r>
          </w:p>
        </w:tc>
        <w:tc>
          <w:tcPr>
            <w:tcW w:w="896" w:type="pct"/>
          </w:tcPr>
          <w:p w:rsidR="00255DBF" w:rsidRPr="00255DBF" w:rsidRDefault="00255DBF" w:rsidP="00255DBF">
            <w:pPr>
              <w:jc w:val="both"/>
              <w:rPr>
                <w:rFonts w:ascii="Times New Roman" w:eastAsia="Times New Roman" w:hAnsi="Times New Roman" w:cs="Times New Roman"/>
                <w:b/>
                <w:bCs/>
                <w:sz w:val="20"/>
                <w:szCs w:val="20"/>
                <w:lang w:val="en-US"/>
              </w:rPr>
            </w:pPr>
            <w:r w:rsidRPr="00255DBF">
              <w:rPr>
                <w:rFonts w:ascii="Times New Roman" w:eastAsia="Times New Roman" w:hAnsi="Times New Roman" w:cs="Times New Roman"/>
                <w:b/>
                <w:bCs/>
                <w:sz w:val="20"/>
                <w:szCs w:val="20"/>
              </w:rPr>
              <w:t>ДНК</w:t>
            </w:r>
            <w:r w:rsidRPr="00255DBF">
              <w:rPr>
                <w:rFonts w:ascii="Times New Roman" w:eastAsia="Times New Roman" w:hAnsi="Times New Roman" w:cs="Times New Roman"/>
                <w:b/>
                <w:bCs/>
                <w:sz w:val="20"/>
                <w:szCs w:val="20"/>
                <w:lang w:val="en-US"/>
              </w:rPr>
              <w:t xml:space="preserve"> Klebsiella  pneumoniae/ Pseudomonas aeruginosa  </w:t>
            </w:r>
          </w:p>
        </w:tc>
        <w:tc>
          <w:tcPr>
            <w:tcW w:w="1526"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 реагентов для одновременного выявления в одной пробе  ДНК  Klebsiella  pneumoniae  и Pseudornonas aerugiuosa методом ПЦР в режиме реального времени. Количество исследуемых образцов не менее 96 штук, включая контрольные. Набор должен представлять собой готовую реакционную смесь (лиофильно высушенную). Добавление в готовую сухую ПЦР - смесь не менее 50 мкл выделенного нуклеотидного материала. Единый протокол амплификации для всех наборов для ПЦР диагностики</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21.10.60.196</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набор</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w:t>
            </w:r>
          </w:p>
        </w:tc>
        <w:tc>
          <w:tcPr>
            <w:tcW w:w="896" w:type="pct"/>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Самплеры "Пико" </w:t>
            </w:r>
          </w:p>
        </w:tc>
        <w:tc>
          <w:tcPr>
            <w:tcW w:w="1526" w:type="pct"/>
          </w:tcPr>
          <w:p w:rsidR="00255DBF" w:rsidRPr="00255DBF" w:rsidRDefault="00255DBF" w:rsidP="00255DBF">
            <w:pPr>
              <w:rPr>
                <w:rFonts w:ascii="Times New Roman" w:eastAsia="Times New Roman" w:hAnsi="Times New Roman" w:cs="Times New Roman"/>
                <w:color w:val="000000"/>
                <w:sz w:val="20"/>
                <w:szCs w:val="20"/>
              </w:rPr>
            </w:pPr>
            <w:r w:rsidRPr="00255DBF">
              <w:rPr>
                <w:rFonts w:ascii="Times New Roman" w:eastAsia="Times New Roman" w:hAnsi="Times New Roman" w:cs="Times New Roman"/>
                <w:color w:val="000000"/>
                <w:sz w:val="20"/>
                <w:szCs w:val="20"/>
              </w:rPr>
              <w:t>Стерильный стеклянный или пластиковый цилиндр с поршнем без предварительно зафиксированной иглы, содержащий антикоагулянт лития гепарин и предназначенный для сбора, хранения и/или транспортирования крови для определения газов крови (blood gas) и/или других исследований. Это изделие для однократного применения. Диаметр: ≥ 0.5 Миллиметр. Система: Закрытая. Содержит уникальный сухой гепарин, сбалансированный по электролитам, для препятствия образованию сгустков и повышения точности измерений. Должно быть совместимо с установленным у Заказчика анализатором кислотно-щелочного и газового состава крови ABL800FLEX.</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32.50.13.110-00004998</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5</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21</w:t>
            </w:r>
          </w:p>
        </w:tc>
        <w:tc>
          <w:tcPr>
            <w:tcW w:w="896" w:type="pct"/>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Самплеры "Пико" </w:t>
            </w:r>
          </w:p>
        </w:tc>
        <w:tc>
          <w:tcPr>
            <w:tcW w:w="1526" w:type="pct"/>
          </w:tcPr>
          <w:p w:rsidR="00255DBF" w:rsidRPr="00255DBF" w:rsidRDefault="00255DBF" w:rsidP="00255DBF">
            <w:pPr>
              <w:rPr>
                <w:rFonts w:ascii="Times New Roman" w:eastAsia="Times New Roman" w:hAnsi="Times New Roman" w:cs="Times New Roman"/>
                <w:color w:val="000000"/>
                <w:sz w:val="20"/>
                <w:szCs w:val="20"/>
              </w:rPr>
            </w:pPr>
            <w:r w:rsidRPr="00255DBF">
              <w:rPr>
                <w:rFonts w:ascii="Times New Roman" w:eastAsia="Times New Roman" w:hAnsi="Times New Roman" w:cs="Times New Roman"/>
                <w:color w:val="000000"/>
                <w:sz w:val="20"/>
                <w:szCs w:val="20"/>
              </w:rPr>
              <w:t>Стерильный стеклянный или пластиковый цилиндр с поршнем без предварительно зафиксированной иглы, содержащий антикоагулянт лития гепарин и предназначенный для сбора, хранения и/или транспортирования крови для определения газов крови (blood gas) и/или других исследований. Это изделие для однократного применения. Диаметр: ≥ 0.5 Миллиметр. Система: Закрытая. Изделие должно иметь колпачок специальной конструкции для безопасного удаления пузырьков воздуха. Должно быть совместимо с установленным у Заказчика анализатором кислотно-щелочного и газового состава крови ABL800FLEX.</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32.50.13.110-00004998</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5</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22</w:t>
            </w:r>
          </w:p>
        </w:tc>
        <w:tc>
          <w:tcPr>
            <w:tcW w:w="896" w:type="pct"/>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Среда для выделения и дифференциации Candida </w:t>
            </w:r>
          </w:p>
        </w:tc>
        <w:tc>
          <w:tcPr>
            <w:tcW w:w="1526" w:type="pct"/>
          </w:tcPr>
          <w:p w:rsidR="00255DBF" w:rsidRPr="00255DBF" w:rsidRDefault="00255DBF" w:rsidP="00255DBF">
            <w:pPr>
              <w:rPr>
                <w:rFonts w:ascii="Times New Roman" w:eastAsia="Times New Roman" w:hAnsi="Times New Roman" w:cs="Times New Roman"/>
                <w:color w:val="000000"/>
                <w:sz w:val="20"/>
                <w:szCs w:val="20"/>
              </w:rPr>
            </w:pPr>
            <w:r w:rsidRPr="00255DBF">
              <w:rPr>
                <w:rFonts w:ascii="Times New Roman" w:eastAsia="Times New Roman" w:hAnsi="Times New Roman" w:cs="Times New Roman"/>
                <w:color w:val="000000"/>
                <w:sz w:val="20"/>
                <w:szCs w:val="20"/>
              </w:rPr>
              <w:t>Культуральная питательная среда селективный и/или дифференциальный агар, содержащая хромогенные субстраты, предназначенная для выращивания и выделения Candida albicans и/или других видов Candida из клинического образца. Масса питательной среды: 238.5 Грамм. Форма выпуска: Порошок</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20.59.52.140-00000122</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5</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23</w:t>
            </w:r>
          </w:p>
        </w:tc>
        <w:tc>
          <w:tcPr>
            <w:tcW w:w="896" w:type="pct"/>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Флаконы со средой и адсорбентом д/выделения аэробных микроорганизмов из крови и стерильных биологич. жидкостей </w:t>
            </w:r>
          </w:p>
        </w:tc>
        <w:tc>
          <w:tcPr>
            <w:tcW w:w="1526" w:type="pct"/>
          </w:tcPr>
          <w:p w:rsidR="00255DBF" w:rsidRPr="00255DBF" w:rsidRDefault="00255DBF" w:rsidP="00255DBF">
            <w:pPr>
              <w:rPr>
                <w:rFonts w:ascii="Times New Roman" w:eastAsia="Times New Roman" w:hAnsi="Times New Roman" w:cs="Times New Roman"/>
                <w:color w:val="000000"/>
                <w:sz w:val="20"/>
                <w:szCs w:val="20"/>
              </w:rPr>
            </w:pPr>
            <w:r w:rsidRPr="00255DBF">
              <w:rPr>
                <w:rFonts w:ascii="Times New Roman" w:eastAsia="Times New Roman" w:hAnsi="Times New Roman" w:cs="Times New Roman"/>
                <w:color w:val="000000"/>
                <w:sz w:val="20"/>
                <w:szCs w:val="20"/>
              </w:rPr>
              <w:t>Флакон с бульонной питательной средой с добавками и/или адсорбирующими соединениями или без добавок и/или адсорбирующих соединений (Aerobic blood culture broth), предназначенной для сбора, хранения и/или транспортирования клинического образца крови, в частности, для культивирования аэробных культур, анализа и/или исследования ручным или автоматическим способом. Назначение: Для автоматических бактериологических анализаторов культур крови и микобактерий серии BACT/ALERT 3D. Объем питательной среды: 30 Кубический сантиметр;^миллилитр. Среда должна содержать казеиновый пептон, дрожжевой экстракт, соевый пептон, мясной пептон, полианетолсульфонат натрия, менадион, гемин, L-цистеин, пировироградную кислоту, пиридоксин HCl, никотиновую кислоту,пантотеновую кислоту, тиамин HCl, сложные аминокислоты и углеводы в очищенной воде, что необходимо для соблюдения методики исследования. Атмосфера во флаконе должны быть разреженная, флаконы должны быть стерильные для соблюдения методики исследования. Упаковка изделия должна содержать не менее 60 флаконов для единовременной загрузки прибора.</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20.59.52.140-00000096</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r w:rsidR="00255DBF" w:rsidRPr="00255DBF" w:rsidTr="005E5A24">
        <w:trPr>
          <w:trHeight w:val="20"/>
          <w:jc w:val="center"/>
        </w:trPr>
        <w:tc>
          <w:tcPr>
            <w:tcW w:w="131" w:type="pct"/>
            <w:noWrap/>
          </w:tcPr>
          <w:p w:rsidR="00255DBF" w:rsidRPr="00255DBF" w:rsidRDefault="00255DBF" w:rsidP="00255DBF">
            <w:pPr>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24</w:t>
            </w:r>
          </w:p>
        </w:tc>
        <w:tc>
          <w:tcPr>
            <w:tcW w:w="896" w:type="pct"/>
          </w:tcPr>
          <w:p w:rsidR="00255DBF" w:rsidRPr="00255DBF" w:rsidRDefault="00255DBF" w:rsidP="00255DBF">
            <w:pPr>
              <w:jc w:val="both"/>
              <w:rPr>
                <w:rFonts w:ascii="Times New Roman" w:eastAsia="Times New Roman" w:hAnsi="Times New Roman" w:cs="Times New Roman"/>
                <w:b/>
                <w:bCs/>
                <w:sz w:val="20"/>
                <w:szCs w:val="20"/>
              </w:rPr>
            </w:pPr>
            <w:r w:rsidRPr="00255DBF">
              <w:rPr>
                <w:rFonts w:ascii="Times New Roman" w:eastAsia="Times New Roman" w:hAnsi="Times New Roman" w:cs="Times New Roman"/>
                <w:b/>
                <w:bCs/>
                <w:sz w:val="20"/>
                <w:szCs w:val="20"/>
              </w:rPr>
              <w:t xml:space="preserve">Флаконы педиатрические со средой и адсорбентом д/выделения микроорганизмов из крови и стерильных биологич. жидкостей </w:t>
            </w:r>
          </w:p>
        </w:tc>
        <w:tc>
          <w:tcPr>
            <w:tcW w:w="1526" w:type="pct"/>
          </w:tcPr>
          <w:p w:rsidR="00255DBF" w:rsidRPr="00255DBF" w:rsidRDefault="00255DBF" w:rsidP="00255DBF">
            <w:pPr>
              <w:rPr>
                <w:rFonts w:ascii="Times New Roman" w:eastAsia="Times New Roman" w:hAnsi="Times New Roman" w:cs="Times New Roman"/>
                <w:color w:val="000000"/>
                <w:sz w:val="20"/>
                <w:szCs w:val="20"/>
              </w:rPr>
            </w:pPr>
            <w:r w:rsidRPr="00255DBF">
              <w:rPr>
                <w:rFonts w:ascii="Times New Roman" w:eastAsia="Times New Roman" w:hAnsi="Times New Roman" w:cs="Times New Roman"/>
                <w:color w:val="000000"/>
                <w:sz w:val="20"/>
                <w:szCs w:val="20"/>
              </w:rPr>
              <w:t>Флакон с бульонной питательной средой с добавками и/или адсорбирующими соединениями или без добавок и/или адсорбирующих соединений (Aerobic blood culture broth), предназначенной для сбора, хранения и/или транспортирования клинического образца крови, в частности, для культивирования аэробных культур, анализа и/или исследования ручным или автоматическим способом. Назначение Для автоматических бактериологических анализаторов культур крови и микобактерий серии BACT/ALERT 3D. Объем питательной среды: 30 Кубический сантиметр;^миллилитр. Флакон должен быть предназначена для качественного определения наличия аэробных и факультативно анаэробных микроорганизмов (бактерий и дрожжей) в крови детей, что позволяет выполнить клинический анализ у детей. Атмосфера во флаконе должны быть разреженная, флаконы должны быть стерильные для соблюдения методики исследования. Упаковка изделия должна содержать не менее 60 флаконов для единовременной загрузки прибора.</w:t>
            </w:r>
          </w:p>
        </w:tc>
        <w:tc>
          <w:tcPr>
            <w:tcW w:w="418" w:type="pct"/>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20.59.52.140-00000096</w:t>
            </w:r>
          </w:p>
        </w:tc>
        <w:tc>
          <w:tcPr>
            <w:tcW w:w="283"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шт</w:t>
            </w:r>
          </w:p>
        </w:tc>
        <w:tc>
          <w:tcPr>
            <w:tcW w:w="259" w:type="pct"/>
            <w:noWrap/>
          </w:tcPr>
          <w:p w:rsidR="00255DBF" w:rsidRPr="00255DBF" w:rsidRDefault="00255DBF" w:rsidP="00255DBF">
            <w:pPr>
              <w:jc w:val="both"/>
              <w:rPr>
                <w:rFonts w:ascii="Times New Roman" w:eastAsia="Times New Roman" w:hAnsi="Times New Roman" w:cs="Times New Roman"/>
                <w:sz w:val="20"/>
                <w:szCs w:val="20"/>
              </w:rPr>
            </w:pPr>
            <w:r w:rsidRPr="00255DBF">
              <w:rPr>
                <w:rFonts w:ascii="Times New Roman" w:eastAsia="Times New Roman" w:hAnsi="Times New Roman" w:cs="Times New Roman"/>
                <w:sz w:val="20"/>
                <w:szCs w:val="20"/>
              </w:rPr>
              <w:t>1</w:t>
            </w:r>
          </w:p>
        </w:tc>
        <w:tc>
          <w:tcPr>
            <w:tcW w:w="452" w:type="pct"/>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283"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c>
          <w:tcPr>
            <w:tcW w:w="376" w:type="pct"/>
            <w:shd w:val="clear" w:color="000000" w:fill="FFFF00"/>
            <w:noWrap/>
            <w:vAlign w:val="bottom"/>
          </w:tcPr>
          <w:p w:rsidR="00255DBF" w:rsidRPr="00255DBF" w:rsidRDefault="00255DBF" w:rsidP="00255DBF">
            <w:pPr>
              <w:spacing w:after="0" w:line="240" w:lineRule="auto"/>
              <w:jc w:val="both"/>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255DBF">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C7" w:rsidRDefault="000A7DC7">
      <w:pPr>
        <w:spacing w:after="0" w:line="240" w:lineRule="auto"/>
      </w:pPr>
      <w:r>
        <w:separator/>
      </w:r>
    </w:p>
  </w:endnote>
  <w:endnote w:type="continuationSeparator" w:id="0">
    <w:p w:rsidR="000A7DC7" w:rsidRDefault="000A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556B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56B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556B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556B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556B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525F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C7" w:rsidRDefault="000A7DC7">
      <w:pPr>
        <w:spacing w:after="0" w:line="240" w:lineRule="auto"/>
      </w:pPr>
      <w:r>
        <w:separator/>
      </w:r>
    </w:p>
  </w:footnote>
  <w:footnote w:type="continuationSeparator" w:id="0">
    <w:p w:rsidR="000A7DC7" w:rsidRDefault="000A7DC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A7DC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55DBF"/>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1E48"/>
    <w:rsid w:val="004F2477"/>
    <w:rsid w:val="004F56B2"/>
    <w:rsid w:val="005015AB"/>
    <w:rsid w:val="0051016A"/>
    <w:rsid w:val="00513490"/>
    <w:rsid w:val="005134E6"/>
    <w:rsid w:val="005223C1"/>
    <w:rsid w:val="005246FD"/>
    <w:rsid w:val="00541586"/>
    <w:rsid w:val="00552518"/>
    <w:rsid w:val="005525F5"/>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22FAF"/>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B6A22"/>
    <w:rsid w:val="00BC0D28"/>
    <w:rsid w:val="00BE3F70"/>
    <w:rsid w:val="00BE4CB3"/>
    <w:rsid w:val="00BF2771"/>
    <w:rsid w:val="00C1195F"/>
    <w:rsid w:val="00C134B9"/>
    <w:rsid w:val="00C22E6F"/>
    <w:rsid w:val="00C35CC7"/>
    <w:rsid w:val="00C368D3"/>
    <w:rsid w:val="00C505E8"/>
    <w:rsid w:val="00C556BF"/>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128D-2A75-43B8-AEE5-D99E09C3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2020-02-14T09:07:00Z</dcterms:created>
  <dcterms:modified xsi:type="dcterms:W3CDTF">2020-02-14T09:07:00Z</dcterms:modified>
</cp:coreProperties>
</file>