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BF2771" w:rsidRPr="00F27547" w:rsidTr="00F7304F">
        <w:tc>
          <w:tcPr>
            <w:tcW w:w="2410" w:type="dxa"/>
            <w:tcBorders>
              <w:top w:val="nil"/>
              <w:left w:val="nil"/>
              <w:bottom w:val="single" w:sz="4" w:space="0" w:color="auto"/>
              <w:right w:val="nil"/>
            </w:tcBorders>
            <w:shd w:val="clear" w:color="auto" w:fill="FFFFFF" w:themeFill="background1"/>
            <w:vAlign w:val="bottom"/>
          </w:tcPr>
          <w:p w:rsidR="00BF2771" w:rsidRPr="00F27547" w:rsidRDefault="00BF2771" w:rsidP="00F7304F">
            <w:pPr>
              <w:tabs>
                <w:tab w:val="left" w:pos="7088"/>
              </w:tabs>
              <w:spacing w:after="0"/>
              <w:rPr>
                <w:rFonts w:ascii="Times New Roman" w:hAnsi="Times New Roman" w:cs="Times New Roman"/>
                <w:b/>
                <w:sz w:val="24"/>
                <w:szCs w:val="24"/>
                <w:u w:val="single"/>
              </w:rPr>
            </w:pPr>
          </w:p>
        </w:tc>
      </w:tr>
    </w:tbl>
    <w:p w:rsidR="00FC6343" w:rsidRDefault="00FC6343"/>
    <w:tbl>
      <w:tblPr>
        <w:tblW w:w="97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3"/>
        <w:gridCol w:w="960"/>
        <w:gridCol w:w="2126"/>
        <w:gridCol w:w="567"/>
        <w:gridCol w:w="2410"/>
        <w:gridCol w:w="2834"/>
      </w:tblGrid>
      <w:tr w:rsidR="002824B6" w:rsidRPr="00F27547" w:rsidTr="00F27547">
        <w:trPr>
          <w:gridBefore w:val="1"/>
          <w:gridAfter w:val="1"/>
          <w:wBefore w:w="817" w:type="dxa"/>
          <w:wAfter w:w="2834" w:type="dxa"/>
        </w:trPr>
        <w:tc>
          <w:tcPr>
            <w:tcW w:w="993" w:type="dxa"/>
            <w:gridSpan w:val="2"/>
            <w:tcBorders>
              <w:top w:val="nil"/>
              <w:left w:val="nil"/>
              <w:bottom w:val="nil"/>
              <w:right w:val="nil"/>
            </w:tcBorders>
            <w:vAlign w:val="bottom"/>
          </w:tcPr>
          <w:p w:rsidR="002824B6" w:rsidRPr="009F28DD" w:rsidRDefault="002824B6" w:rsidP="009F28DD">
            <w:pPr>
              <w:tabs>
                <w:tab w:val="left" w:pos="7088"/>
              </w:tabs>
              <w:spacing w:after="0"/>
              <w:rPr>
                <w:rFonts w:ascii="Times New Roman" w:hAnsi="Times New Roman" w:cs="Times New Roman"/>
                <w:sz w:val="24"/>
                <w:szCs w:val="24"/>
              </w:rPr>
            </w:pPr>
          </w:p>
        </w:tc>
        <w:tc>
          <w:tcPr>
            <w:tcW w:w="2126" w:type="dxa"/>
            <w:tcBorders>
              <w:top w:val="nil"/>
              <w:left w:val="nil"/>
              <w:bottom w:val="single" w:sz="4" w:space="0" w:color="auto"/>
              <w:right w:val="nil"/>
            </w:tcBorders>
            <w:vAlign w:val="bottom"/>
          </w:tcPr>
          <w:p w:rsidR="002824B6" w:rsidRPr="00894C5B" w:rsidRDefault="00E85561" w:rsidP="00BF2771">
            <w:pPr>
              <w:tabs>
                <w:tab w:val="left" w:pos="7088"/>
              </w:tabs>
              <w:spacing w:after="0"/>
              <w:jc w:val="right"/>
              <w:rPr>
                <w:rFonts w:ascii="Times New Roman" w:hAnsi="Times New Roman" w:cs="Times New Roman"/>
                <w:sz w:val="24"/>
                <w:szCs w:val="24"/>
                <w:u w:val="single"/>
              </w:rPr>
            </w:pPr>
            <w:bookmarkStart w:id="0" w:name="ДатаРегистрации"/>
            <w:r>
              <w:rPr>
                <w:b/>
                <w:sz w:val="24"/>
                <w:szCs w:val="24"/>
              </w:rPr>
              <w:t>08.02.2019</w:t>
            </w:r>
            <w:bookmarkStart w:id="1" w:name="_GoBack"/>
            <w:bookmarkEnd w:id="1"/>
            <w:r w:rsidR="00894C5B">
              <w:rPr>
                <w:b/>
                <w:sz w:val="24"/>
                <w:szCs w:val="24"/>
              </w:rPr>
              <w:fldChar w:fldCharType="begin">
                <w:ffData>
                  <w:name w:val="ДатаРегистрации"/>
                  <w:enabled w:val="0"/>
                  <w:calcOnExit w:val="0"/>
                  <w:textInput>
                    <w:type w:val="date"/>
                    <w:format w:val="dd.MM.yyyy"/>
                  </w:textInput>
                </w:ffData>
              </w:fldChar>
            </w:r>
            <w:r w:rsidR="00894C5B">
              <w:rPr>
                <w:b/>
                <w:sz w:val="24"/>
                <w:szCs w:val="24"/>
              </w:rPr>
              <w:instrText xml:space="preserve"> FORMTEXT </w:instrText>
            </w:r>
            <w:r w:rsidR="00894C5B">
              <w:rPr>
                <w:b/>
                <w:sz w:val="24"/>
                <w:szCs w:val="24"/>
              </w:rPr>
            </w:r>
            <w:r w:rsidR="00894C5B">
              <w:rPr>
                <w:b/>
                <w:sz w:val="24"/>
                <w:szCs w:val="24"/>
              </w:rPr>
              <w:fldChar w:fldCharType="separate"/>
            </w:r>
            <w:r w:rsidR="00894C5B">
              <w:rPr>
                <w:b/>
                <w:noProof/>
                <w:sz w:val="24"/>
                <w:szCs w:val="24"/>
              </w:rPr>
              <w:t> </w:t>
            </w:r>
            <w:r w:rsidR="00894C5B">
              <w:rPr>
                <w:b/>
                <w:noProof/>
                <w:sz w:val="24"/>
                <w:szCs w:val="24"/>
              </w:rPr>
              <w:t> </w:t>
            </w:r>
            <w:r w:rsidR="00894C5B">
              <w:rPr>
                <w:b/>
                <w:noProof/>
                <w:sz w:val="24"/>
                <w:szCs w:val="24"/>
              </w:rPr>
              <w:t> </w:t>
            </w:r>
            <w:r w:rsidR="00894C5B">
              <w:rPr>
                <w:b/>
                <w:noProof/>
                <w:sz w:val="24"/>
                <w:szCs w:val="24"/>
              </w:rPr>
              <w:t> </w:t>
            </w:r>
            <w:r w:rsidR="00894C5B">
              <w:rPr>
                <w:b/>
                <w:noProof/>
                <w:sz w:val="24"/>
                <w:szCs w:val="24"/>
              </w:rPr>
              <w:t> </w:t>
            </w:r>
            <w:r w:rsidR="00894C5B">
              <w:rPr>
                <w:b/>
                <w:sz w:val="24"/>
                <w:szCs w:val="24"/>
              </w:rPr>
              <w:fldChar w:fldCharType="end"/>
            </w:r>
            <w:bookmarkEnd w:id="0"/>
          </w:p>
        </w:tc>
        <w:tc>
          <w:tcPr>
            <w:tcW w:w="567" w:type="dxa"/>
            <w:tcBorders>
              <w:top w:val="nil"/>
              <w:left w:val="nil"/>
              <w:bottom w:val="nil"/>
              <w:right w:val="nil"/>
            </w:tcBorders>
            <w:shd w:val="clear" w:color="auto" w:fill="FFFFFF" w:themeFill="background1"/>
            <w:vAlign w:val="bottom"/>
          </w:tcPr>
          <w:p w:rsidR="002824B6" w:rsidRPr="009F28DD" w:rsidRDefault="00BF2771" w:rsidP="002329D0">
            <w:pPr>
              <w:tabs>
                <w:tab w:val="left" w:pos="7088"/>
              </w:tabs>
              <w:spacing w:after="0"/>
              <w:rPr>
                <w:rFonts w:ascii="Times New Roman" w:hAnsi="Times New Roman" w:cs="Times New Roman"/>
                <w:sz w:val="24"/>
                <w:szCs w:val="24"/>
              </w:rPr>
            </w:pPr>
            <w:r>
              <w:rPr>
                <w:rFonts w:ascii="Times New Roman" w:hAnsi="Times New Roman" w:cs="Times New Roman"/>
                <w:sz w:val="24"/>
                <w:szCs w:val="24"/>
              </w:rPr>
              <w:t>№</w:t>
            </w:r>
          </w:p>
        </w:tc>
        <w:tc>
          <w:tcPr>
            <w:tcW w:w="2410" w:type="dxa"/>
            <w:tcBorders>
              <w:top w:val="nil"/>
              <w:left w:val="nil"/>
              <w:bottom w:val="single" w:sz="4" w:space="0" w:color="auto"/>
              <w:right w:val="nil"/>
            </w:tcBorders>
            <w:shd w:val="clear" w:color="auto" w:fill="FFFFFF" w:themeFill="background1"/>
            <w:vAlign w:val="bottom"/>
          </w:tcPr>
          <w:p w:rsidR="002824B6" w:rsidRPr="00894C5B" w:rsidRDefault="00E85561" w:rsidP="00BF2771">
            <w:pPr>
              <w:tabs>
                <w:tab w:val="left" w:pos="7088"/>
              </w:tabs>
              <w:spacing w:after="0"/>
              <w:rPr>
                <w:rFonts w:ascii="Times New Roman" w:hAnsi="Times New Roman" w:cs="Times New Roman"/>
                <w:b/>
                <w:sz w:val="24"/>
                <w:szCs w:val="24"/>
                <w:u w:val="single"/>
              </w:rPr>
            </w:pPr>
            <w:r w:rsidRPr="00E85561">
              <w:rPr>
                <w:b/>
                <w:sz w:val="24"/>
                <w:szCs w:val="24"/>
              </w:rPr>
              <w:t>05-07/81</w:t>
            </w:r>
          </w:p>
        </w:tc>
      </w:tr>
      <w:tr w:rsidR="00D93803" w:rsidRPr="00EF5DC5" w:rsidTr="00F27547">
        <w:trPr>
          <w:trHeight w:val="312"/>
        </w:trPr>
        <w:tc>
          <w:tcPr>
            <w:tcW w:w="850" w:type="dxa"/>
            <w:gridSpan w:val="2"/>
            <w:tcBorders>
              <w:top w:val="nil"/>
              <w:left w:val="nil"/>
              <w:bottom w:val="nil"/>
              <w:right w:val="nil"/>
            </w:tcBorders>
          </w:tcPr>
          <w:p w:rsidR="00D93803" w:rsidRDefault="00D93803"/>
        </w:tc>
        <w:tc>
          <w:tcPr>
            <w:tcW w:w="8897" w:type="dxa"/>
            <w:gridSpan w:val="5"/>
            <w:tcBorders>
              <w:top w:val="nil"/>
              <w:left w:val="nil"/>
              <w:bottom w:val="nil"/>
              <w:right w:val="nil"/>
            </w:tcBorders>
            <w:shd w:val="clear" w:color="auto" w:fill="auto"/>
            <w:hideMark/>
          </w:tcPr>
          <w:p w:rsidR="002F2BED" w:rsidRDefault="002F2BED" w:rsidP="002F2BED">
            <w:pPr>
              <w:spacing w:after="0"/>
              <w:rPr>
                <w:i/>
              </w:rPr>
            </w:pPr>
          </w:p>
          <w:p w:rsidR="00D93803" w:rsidRPr="002F2BED" w:rsidRDefault="002F2BED" w:rsidP="002F2BED">
            <w:pPr>
              <w:ind w:left="568"/>
              <w:rPr>
                <w:i/>
              </w:rPr>
            </w:pPr>
            <w:r>
              <w:rPr>
                <w:i/>
              </w:rPr>
              <w:t>Ссылка на данный номер обязательна!</w:t>
            </w:r>
          </w:p>
        </w:tc>
      </w:tr>
      <w:tr w:rsidR="002329D0" w:rsidRPr="00EF5DC5" w:rsidTr="00F27547">
        <w:trPr>
          <w:trHeight w:val="507"/>
        </w:trPr>
        <w:tc>
          <w:tcPr>
            <w:tcW w:w="850" w:type="dxa"/>
            <w:gridSpan w:val="2"/>
            <w:vMerge w:val="restart"/>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auto"/>
            <w:hideMark/>
          </w:tcPr>
          <w:p w:rsidR="002F2BED" w:rsidRDefault="002F2BED" w:rsidP="002329D0">
            <w:pPr>
              <w:spacing w:after="0"/>
              <w:jc w:val="center"/>
              <w:rPr>
                <w:rFonts w:ascii="Times New Roman" w:hAnsi="Times New Roman" w:cs="Times New Roman"/>
                <w:b/>
                <w:caps/>
                <w:sz w:val="28"/>
              </w:rPr>
            </w:pPr>
          </w:p>
          <w:p w:rsidR="002329D0" w:rsidRDefault="002329D0" w:rsidP="002329D0">
            <w:pPr>
              <w:spacing w:after="0"/>
              <w:jc w:val="center"/>
            </w:pPr>
            <w:r>
              <w:rPr>
                <w:rFonts w:ascii="Times New Roman" w:hAnsi="Times New Roman" w:cs="Times New Roman"/>
                <w:b/>
                <w:caps/>
                <w:sz w:val="28"/>
              </w:rPr>
              <w:t>Запрос Коммерческого предложения</w:t>
            </w:r>
          </w:p>
        </w:tc>
      </w:tr>
      <w:tr w:rsidR="002329D0" w:rsidRPr="00EF5DC5" w:rsidTr="00F27547">
        <w:trPr>
          <w:trHeight w:val="697"/>
        </w:trPr>
        <w:tc>
          <w:tcPr>
            <w:tcW w:w="850" w:type="dxa"/>
            <w:gridSpan w:val="2"/>
            <w:vMerge/>
            <w:tcBorders>
              <w:top w:val="nil"/>
              <w:left w:val="nil"/>
              <w:bottom w:val="nil"/>
              <w:right w:val="nil"/>
            </w:tcBorders>
          </w:tcPr>
          <w:p w:rsidR="002329D0" w:rsidRDefault="002329D0" w:rsidP="002329D0">
            <w:pPr>
              <w:spacing w:after="0"/>
              <w:jc w:val="center"/>
              <w:rPr>
                <w:rFonts w:ascii="Times New Roman" w:hAnsi="Times New Roman" w:cs="Times New Roman"/>
                <w:b/>
                <w:caps/>
                <w:sz w:val="28"/>
              </w:rPr>
            </w:pPr>
          </w:p>
        </w:tc>
        <w:tc>
          <w:tcPr>
            <w:tcW w:w="8897" w:type="dxa"/>
            <w:gridSpan w:val="5"/>
            <w:tcBorders>
              <w:top w:val="nil"/>
              <w:left w:val="nil"/>
              <w:bottom w:val="nil"/>
              <w:right w:val="nil"/>
            </w:tcBorders>
            <w:shd w:val="clear" w:color="auto" w:fill="F2F2F2" w:themeFill="background1" w:themeFillShade="F2"/>
          </w:tcPr>
          <w:p w:rsidR="002329D0" w:rsidRPr="002329D0" w:rsidRDefault="002329D0" w:rsidP="00EA5244">
            <w:pPr>
              <w:spacing w:after="0"/>
              <w:jc w:val="center"/>
              <w:rPr>
                <w:rFonts w:ascii="Times New Roman" w:hAnsi="Times New Roman" w:cs="Times New Roman"/>
                <w:i/>
                <w:sz w:val="28"/>
                <w:szCs w:val="28"/>
              </w:rPr>
            </w:pPr>
            <w:r w:rsidRPr="002329D0">
              <w:rPr>
                <w:rFonts w:ascii="Times New Roman" w:hAnsi="Times New Roman" w:cs="Times New Roman"/>
                <w:i/>
                <w:sz w:val="28"/>
                <w:szCs w:val="28"/>
              </w:rPr>
              <w:t>(</w:t>
            </w:r>
            <w:r w:rsidR="00756147">
              <w:rPr>
                <w:rFonts w:ascii="Times New Roman" w:hAnsi="Times New Roman" w:cs="Times New Roman"/>
                <w:i/>
                <w:sz w:val="28"/>
                <w:szCs w:val="28"/>
              </w:rPr>
              <w:t xml:space="preserve">Поставка </w:t>
            </w:r>
            <w:r w:rsidR="00EA5244">
              <w:rPr>
                <w:rFonts w:ascii="Times New Roman" w:hAnsi="Times New Roman" w:cs="Times New Roman"/>
                <w:i/>
                <w:sz w:val="28"/>
                <w:szCs w:val="28"/>
              </w:rPr>
              <w:t xml:space="preserve">расходных материалов </w:t>
            </w:r>
            <w:r w:rsidR="00756147">
              <w:rPr>
                <w:rFonts w:ascii="Times New Roman" w:hAnsi="Times New Roman" w:cs="Times New Roman"/>
                <w:i/>
                <w:sz w:val="28"/>
                <w:szCs w:val="28"/>
              </w:rPr>
              <w:t xml:space="preserve"> </w:t>
            </w:r>
            <w:r w:rsidRPr="002329D0">
              <w:rPr>
                <w:rFonts w:ascii="Times New Roman" w:hAnsi="Times New Roman" w:cs="Times New Roman"/>
                <w:i/>
                <w:sz w:val="28"/>
                <w:szCs w:val="28"/>
              </w:rPr>
              <w:t>)</w:t>
            </w:r>
          </w:p>
        </w:tc>
      </w:tr>
      <w:tr w:rsidR="0011217D" w:rsidRPr="007E29E9" w:rsidTr="00F27547">
        <w:trPr>
          <w:trHeight w:val="312"/>
        </w:trPr>
        <w:tc>
          <w:tcPr>
            <w:tcW w:w="850" w:type="dxa"/>
            <w:gridSpan w:val="2"/>
            <w:tcBorders>
              <w:top w:val="nil"/>
              <w:left w:val="nil"/>
              <w:bottom w:val="nil"/>
              <w:right w:val="nil"/>
            </w:tcBorders>
          </w:tcPr>
          <w:p w:rsidR="0011217D" w:rsidRPr="007E29E9" w:rsidRDefault="0011217D" w:rsidP="00C22E6F">
            <w:pPr>
              <w:spacing w:after="0" w:line="240" w:lineRule="auto"/>
              <w:jc w:val="center"/>
              <w:rPr>
                <w:rFonts w:ascii="Times New Roman" w:hAnsi="Times New Roman" w:cs="Times New Roman"/>
                <w:b/>
                <w:sz w:val="28"/>
                <w:szCs w:val="28"/>
              </w:rPr>
            </w:pPr>
          </w:p>
        </w:tc>
        <w:tc>
          <w:tcPr>
            <w:tcW w:w="8897" w:type="dxa"/>
            <w:gridSpan w:val="5"/>
            <w:tcBorders>
              <w:top w:val="nil"/>
              <w:left w:val="nil"/>
              <w:bottom w:val="nil"/>
              <w:right w:val="nil"/>
            </w:tcBorders>
            <w:shd w:val="clear" w:color="auto" w:fill="auto"/>
          </w:tcPr>
          <w:p w:rsidR="0011217D" w:rsidRDefault="0011217D" w:rsidP="00C22E6F">
            <w:pPr>
              <w:spacing w:after="0" w:line="240" w:lineRule="auto"/>
              <w:jc w:val="center"/>
              <w:rPr>
                <w:rFonts w:ascii="Times New Roman" w:hAnsi="Times New Roman" w:cs="Times New Roman"/>
                <w:b/>
                <w:sz w:val="28"/>
                <w:szCs w:val="28"/>
              </w:rPr>
            </w:pPr>
          </w:p>
        </w:tc>
      </w:tr>
    </w:tbl>
    <w:p w:rsidR="00E961F8" w:rsidRDefault="00E961F8"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Основные требования:</w:t>
      </w:r>
    </w:p>
    <w:tbl>
      <w:tblPr>
        <w:tblStyle w:val="ad"/>
        <w:tblW w:w="10315" w:type="dxa"/>
        <w:tblInd w:w="-426" w:type="dxa"/>
        <w:tblLook w:val="04A0" w:firstRow="1" w:lastRow="0" w:firstColumn="1" w:lastColumn="0" w:noHBand="0" w:noVBand="1"/>
      </w:tblPr>
      <w:tblGrid>
        <w:gridCol w:w="4503"/>
        <w:gridCol w:w="5812"/>
      </w:tblGrid>
      <w:tr w:rsidR="00E961F8" w:rsidRPr="00E961F8" w:rsidTr="008252D7">
        <w:tc>
          <w:tcPr>
            <w:tcW w:w="4503" w:type="dxa"/>
          </w:tcPr>
          <w:p w:rsidR="00E961F8" w:rsidRPr="00E961F8" w:rsidRDefault="00E961F8" w:rsidP="00E961F8">
            <w:pPr>
              <w:ind w:right="-1"/>
              <w:rPr>
                <w:rFonts w:ascii="Times New Roman" w:hAnsi="Times New Roman" w:cs="Times New Roman"/>
              </w:rPr>
            </w:pPr>
            <w:r>
              <w:rPr>
                <w:rFonts w:ascii="Times New Roman" w:hAnsi="Times New Roman" w:cs="Times New Roman"/>
              </w:rPr>
              <w:t>Адрес</w:t>
            </w:r>
            <w:r w:rsidRPr="00E961F8">
              <w:rPr>
                <w:rFonts w:ascii="Times New Roman" w:hAnsi="Times New Roman" w:cs="Times New Roman"/>
              </w:rPr>
              <w:t xml:space="preserve"> </w:t>
            </w:r>
            <w:r>
              <w:rPr>
                <w:rFonts w:ascii="Times New Roman" w:hAnsi="Times New Roman" w:cs="Times New Roman"/>
              </w:rPr>
              <w:t>доставки / оказания услуг:</w:t>
            </w:r>
          </w:p>
        </w:tc>
        <w:tc>
          <w:tcPr>
            <w:tcW w:w="5812" w:type="dxa"/>
          </w:tcPr>
          <w:p w:rsidR="00E961F8" w:rsidRPr="00E961F8" w:rsidRDefault="00E961F8" w:rsidP="00E961F8">
            <w:pPr>
              <w:ind w:right="-1"/>
              <w:rPr>
                <w:rFonts w:ascii="Times New Roman" w:hAnsi="Times New Roman" w:cs="Times New Roman"/>
              </w:rPr>
            </w:pPr>
            <w:r>
              <w:rPr>
                <w:rFonts w:ascii="Times New Roman" w:hAnsi="Times New Roman" w:cs="Times New Roman"/>
              </w:rPr>
              <w:t>Санкт-Петербург, пос. Песочный, ул. Ленинградская, д.68</w:t>
            </w:r>
          </w:p>
        </w:tc>
      </w:tr>
      <w:tr w:rsidR="00E961F8" w:rsidRPr="008252D7" w:rsidTr="008252D7">
        <w:tc>
          <w:tcPr>
            <w:tcW w:w="4503" w:type="dxa"/>
          </w:tcPr>
          <w:p w:rsidR="00E961F8" w:rsidRPr="008252D7" w:rsidRDefault="008252D7" w:rsidP="008252D7">
            <w:pPr>
              <w:ind w:right="-1"/>
              <w:rPr>
                <w:rFonts w:ascii="Times New Roman" w:hAnsi="Times New Roman" w:cs="Times New Roman"/>
              </w:rPr>
            </w:pPr>
            <w:r w:rsidRPr="008252D7">
              <w:rPr>
                <w:rFonts w:ascii="Times New Roman" w:hAnsi="Times New Roman" w:cs="Times New Roman"/>
              </w:rPr>
              <w:t>Предполагаемы</w:t>
            </w:r>
            <w:r>
              <w:rPr>
                <w:rFonts w:ascii="Times New Roman" w:hAnsi="Times New Roman" w:cs="Times New Roman"/>
              </w:rPr>
              <w:t>й срок</w:t>
            </w:r>
            <w:r w:rsidRPr="008252D7">
              <w:rPr>
                <w:rFonts w:ascii="Times New Roman" w:hAnsi="Times New Roman" w:cs="Times New Roman"/>
              </w:rPr>
              <w:t xml:space="preserve"> проведения закупки</w:t>
            </w:r>
          </w:p>
        </w:tc>
        <w:tc>
          <w:tcPr>
            <w:tcW w:w="5812" w:type="dxa"/>
          </w:tcPr>
          <w:p w:rsidR="00E961F8" w:rsidRPr="008252D7" w:rsidRDefault="007F5A18" w:rsidP="00E961F8">
            <w:pPr>
              <w:ind w:right="-1"/>
              <w:rPr>
                <w:rFonts w:ascii="Times New Roman" w:hAnsi="Times New Roman" w:cs="Times New Roman"/>
              </w:rPr>
            </w:pPr>
            <w:r>
              <w:rPr>
                <w:rFonts w:ascii="Times New Roman" w:hAnsi="Times New Roman" w:cs="Times New Roman"/>
              </w:rPr>
              <w:t>03.2019</w:t>
            </w:r>
          </w:p>
        </w:tc>
      </w:tr>
      <w:tr w:rsidR="00756147" w:rsidRPr="008252D7" w:rsidTr="008252D7">
        <w:tc>
          <w:tcPr>
            <w:tcW w:w="4503" w:type="dxa"/>
          </w:tcPr>
          <w:p w:rsidR="00756147" w:rsidRPr="008252D7" w:rsidRDefault="00756147" w:rsidP="008252D7">
            <w:pPr>
              <w:ind w:right="-1"/>
              <w:rPr>
                <w:rFonts w:ascii="Times New Roman" w:hAnsi="Times New Roman" w:cs="Times New Roman"/>
              </w:rPr>
            </w:pPr>
            <w:r w:rsidRPr="008252D7">
              <w:rPr>
                <w:rFonts w:ascii="Times New Roman" w:hAnsi="Times New Roman" w:cs="Times New Roman"/>
              </w:rPr>
              <w:t>Требования к порядку поставки продукции (выполнения работ, оказания услуг)</w:t>
            </w:r>
          </w:p>
        </w:tc>
        <w:tc>
          <w:tcPr>
            <w:tcW w:w="5812" w:type="dxa"/>
          </w:tcPr>
          <w:p w:rsidR="00756147" w:rsidRPr="008252D7" w:rsidRDefault="00756147" w:rsidP="001803B2">
            <w:pPr>
              <w:ind w:right="-1"/>
              <w:rPr>
                <w:rFonts w:ascii="Times New Roman" w:hAnsi="Times New Roman" w:cs="Times New Roman"/>
              </w:rPr>
            </w:pPr>
            <w:r>
              <w:rPr>
                <w:rFonts w:ascii="Times New Roman" w:hAnsi="Times New Roman" w:cs="Times New Roman"/>
              </w:rPr>
              <w:t>Поставка партиями</w:t>
            </w:r>
          </w:p>
        </w:tc>
      </w:tr>
      <w:tr w:rsidR="00756147" w:rsidRPr="008252D7" w:rsidTr="008252D7">
        <w:tc>
          <w:tcPr>
            <w:tcW w:w="4503" w:type="dxa"/>
          </w:tcPr>
          <w:p w:rsidR="00756147" w:rsidRDefault="00756147" w:rsidP="008252D7">
            <w:pPr>
              <w:ind w:right="-1"/>
              <w:rPr>
                <w:rFonts w:ascii="Times New Roman" w:hAnsi="Times New Roman" w:cs="Times New Roman"/>
              </w:rPr>
            </w:pPr>
            <w:r w:rsidRPr="006474B5">
              <w:rPr>
                <w:rFonts w:ascii="Times New Roman" w:hAnsi="Times New Roman" w:cs="Times New Roman"/>
              </w:rPr>
              <w:t>Структура цены (расходы, включенные в цену товара</w:t>
            </w:r>
            <w:r>
              <w:rPr>
                <w:rFonts w:ascii="Times New Roman" w:hAnsi="Times New Roman" w:cs="Times New Roman"/>
              </w:rPr>
              <w:t xml:space="preserve"> / услуги</w:t>
            </w:r>
            <w:r w:rsidRPr="006474B5">
              <w:rPr>
                <w:rFonts w:ascii="Times New Roman" w:hAnsi="Times New Roman" w:cs="Times New Roman"/>
              </w:rPr>
              <w:t>)</w:t>
            </w:r>
          </w:p>
        </w:tc>
        <w:tc>
          <w:tcPr>
            <w:tcW w:w="5812" w:type="dxa"/>
          </w:tcPr>
          <w:p w:rsidR="00756147" w:rsidRPr="006474B5" w:rsidRDefault="00756147" w:rsidP="00756147">
            <w:pPr>
              <w:pStyle w:val="a7"/>
              <w:numPr>
                <w:ilvl w:val="0"/>
                <w:numId w:val="16"/>
              </w:numPr>
              <w:tabs>
                <w:tab w:val="left" w:pos="743"/>
              </w:tabs>
              <w:spacing w:after="200" w:line="276" w:lineRule="auto"/>
              <w:ind w:left="34" w:firstLine="326"/>
              <w:jc w:val="both"/>
              <w:rPr>
                <w:rFonts w:ascii="Times New Roman" w:hAnsi="Times New Roman" w:cs="Times New Roman"/>
              </w:rPr>
            </w:pPr>
            <w:r w:rsidRPr="006474B5">
              <w:rPr>
                <w:rFonts w:ascii="Times New Roman" w:hAnsi="Times New Roman" w:cs="Times New Roman"/>
              </w:rPr>
              <w:t xml:space="preserve">стоимость товара; </w:t>
            </w:r>
          </w:p>
          <w:p w:rsidR="00756147" w:rsidRPr="006474B5" w:rsidRDefault="00756147" w:rsidP="00756147">
            <w:pPr>
              <w:pStyle w:val="a7"/>
              <w:numPr>
                <w:ilvl w:val="0"/>
                <w:numId w:val="16"/>
              </w:numPr>
              <w:tabs>
                <w:tab w:val="left" w:pos="743"/>
              </w:tabs>
              <w:spacing w:after="200" w:line="276" w:lineRule="auto"/>
              <w:ind w:left="34" w:firstLine="326"/>
              <w:jc w:val="both"/>
              <w:rPr>
                <w:rFonts w:ascii="Times New Roman" w:hAnsi="Times New Roman" w:cs="Times New Roman"/>
              </w:rPr>
            </w:pPr>
            <w:r w:rsidRPr="006474B5">
              <w:rPr>
                <w:rFonts w:ascii="Times New Roman" w:hAnsi="Times New Roman" w:cs="Times New Roman"/>
              </w:rPr>
              <w:t>стоимость упаковки товара;</w:t>
            </w:r>
          </w:p>
          <w:p w:rsidR="00756147" w:rsidRPr="006474B5" w:rsidRDefault="00756147" w:rsidP="00756147">
            <w:pPr>
              <w:pStyle w:val="a7"/>
              <w:numPr>
                <w:ilvl w:val="0"/>
                <w:numId w:val="16"/>
              </w:numPr>
              <w:tabs>
                <w:tab w:val="left" w:pos="743"/>
              </w:tabs>
              <w:spacing w:after="200" w:line="276" w:lineRule="auto"/>
              <w:ind w:left="34" w:firstLine="326"/>
              <w:jc w:val="both"/>
              <w:rPr>
                <w:rFonts w:ascii="Times New Roman" w:hAnsi="Times New Roman" w:cs="Times New Roman"/>
              </w:rPr>
            </w:pPr>
            <w:r w:rsidRPr="006474B5">
              <w:rPr>
                <w:rFonts w:ascii="Times New Roman" w:hAnsi="Times New Roman" w:cs="Times New Roman"/>
              </w:rPr>
              <w:t>стоимость транспортировки товара от склада поставщика до склада покупателя, включающая в себя все сопутствующие расходы</w:t>
            </w:r>
            <w:r>
              <w:rPr>
                <w:rFonts w:ascii="Times New Roman" w:hAnsi="Times New Roman" w:cs="Times New Roman"/>
              </w:rPr>
              <w:t>, а также погрузочно-разгрузочные работы</w:t>
            </w:r>
            <w:r w:rsidRPr="006474B5">
              <w:rPr>
                <w:rFonts w:ascii="Times New Roman" w:hAnsi="Times New Roman" w:cs="Times New Roman"/>
              </w:rPr>
              <w:t>;</w:t>
            </w:r>
          </w:p>
          <w:p w:rsidR="00756147" w:rsidRPr="006474B5" w:rsidRDefault="00756147" w:rsidP="00756147">
            <w:pPr>
              <w:pStyle w:val="a7"/>
              <w:numPr>
                <w:ilvl w:val="0"/>
                <w:numId w:val="16"/>
              </w:numPr>
              <w:tabs>
                <w:tab w:val="left" w:pos="743"/>
              </w:tabs>
              <w:spacing w:after="200" w:line="276" w:lineRule="auto"/>
              <w:ind w:left="34" w:firstLine="326"/>
              <w:jc w:val="both"/>
              <w:rPr>
                <w:rFonts w:ascii="Times New Roman" w:hAnsi="Times New Roman" w:cs="Times New Roman"/>
              </w:rPr>
            </w:pPr>
            <w:r w:rsidRPr="006474B5">
              <w:rPr>
                <w:rFonts w:ascii="Times New Roman" w:hAnsi="Times New Roman" w:cs="Times New Roman"/>
              </w:rPr>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756147" w:rsidRPr="008252D7" w:rsidRDefault="00756147" w:rsidP="001803B2">
            <w:pPr>
              <w:ind w:left="34" w:right="-1" w:firstLine="326"/>
              <w:rPr>
                <w:rFonts w:ascii="Times New Roman" w:hAnsi="Times New Roman" w:cs="Times New Roman"/>
              </w:rPr>
            </w:pPr>
            <w:r w:rsidRPr="006474B5">
              <w:rPr>
                <w:rFonts w:ascii="Times New Roman" w:hAnsi="Times New Roman" w:cs="Times New Roman"/>
              </w:rPr>
              <w:t>все иные прямые и косвенные накладные расходы поставщика, связанные с поставкой товара и необходимые для надлежащего выполнения обязательств.</w:t>
            </w:r>
          </w:p>
        </w:tc>
      </w:tr>
      <w:tr w:rsidR="00756147" w:rsidRPr="008252D7" w:rsidTr="008252D7">
        <w:tc>
          <w:tcPr>
            <w:tcW w:w="4503" w:type="dxa"/>
          </w:tcPr>
          <w:p w:rsidR="00756147" w:rsidRDefault="00756147" w:rsidP="00F374E2">
            <w:pPr>
              <w:ind w:right="-1"/>
              <w:rPr>
                <w:rFonts w:ascii="Times New Roman" w:hAnsi="Times New Roman" w:cs="Times New Roman"/>
              </w:rPr>
            </w:pPr>
            <w:r w:rsidRPr="006474B5">
              <w:rPr>
                <w:rFonts w:ascii="Times New Roman" w:hAnsi="Times New Roman" w:cs="Times New Roman"/>
              </w:rPr>
              <w:t>Максимальное количество партий товара</w:t>
            </w:r>
            <w:r>
              <w:rPr>
                <w:rFonts w:ascii="Times New Roman" w:hAnsi="Times New Roman" w:cs="Times New Roman"/>
              </w:rPr>
              <w:t xml:space="preserve"> / этапов выполнения работ</w:t>
            </w:r>
          </w:p>
        </w:tc>
        <w:tc>
          <w:tcPr>
            <w:tcW w:w="5812" w:type="dxa"/>
          </w:tcPr>
          <w:p w:rsidR="00756147" w:rsidRPr="008252D7" w:rsidRDefault="00756147" w:rsidP="001803B2">
            <w:pPr>
              <w:ind w:right="-1"/>
              <w:jc w:val="center"/>
              <w:rPr>
                <w:rFonts w:ascii="Times New Roman" w:hAnsi="Times New Roman" w:cs="Times New Roman"/>
              </w:rPr>
            </w:pPr>
            <w:r>
              <w:rPr>
                <w:rFonts w:ascii="Times New Roman" w:hAnsi="Times New Roman" w:cs="Times New Roman"/>
              </w:rPr>
              <w:t>Не более 10 (десяти)</w:t>
            </w:r>
          </w:p>
        </w:tc>
      </w:tr>
      <w:tr w:rsidR="00756147" w:rsidRPr="008252D7" w:rsidTr="008252D7">
        <w:tc>
          <w:tcPr>
            <w:tcW w:w="4503" w:type="dxa"/>
          </w:tcPr>
          <w:p w:rsidR="00756147" w:rsidRDefault="00756147" w:rsidP="00F374E2">
            <w:pPr>
              <w:ind w:right="-1"/>
              <w:rPr>
                <w:rFonts w:ascii="Times New Roman" w:hAnsi="Times New Roman" w:cs="Times New Roman"/>
              </w:rPr>
            </w:pPr>
            <w:r w:rsidRPr="006474B5">
              <w:rPr>
                <w:rFonts w:ascii="Times New Roman" w:hAnsi="Times New Roman" w:cs="Times New Roman"/>
              </w:rPr>
              <w:t>Максимальный срок поставки товара (одной партии товара)</w:t>
            </w:r>
            <w:r>
              <w:rPr>
                <w:rFonts w:ascii="Times New Roman" w:hAnsi="Times New Roman" w:cs="Times New Roman"/>
              </w:rPr>
              <w:t xml:space="preserve"> / выполнения этапа работ</w:t>
            </w:r>
          </w:p>
        </w:tc>
        <w:tc>
          <w:tcPr>
            <w:tcW w:w="5812" w:type="dxa"/>
          </w:tcPr>
          <w:p w:rsidR="00756147" w:rsidRPr="008252D7" w:rsidRDefault="00756147" w:rsidP="007F5A18">
            <w:pPr>
              <w:ind w:right="-1"/>
              <w:jc w:val="center"/>
              <w:rPr>
                <w:rFonts w:ascii="Times New Roman" w:hAnsi="Times New Roman" w:cs="Times New Roman"/>
              </w:rPr>
            </w:pPr>
            <w:r>
              <w:rPr>
                <w:rFonts w:ascii="Times New Roman" w:hAnsi="Times New Roman" w:cs="Times New Roman"/>
              </w:rPr>
              <w:t xml:space="preserve">В течение </w:t>
            </w:r>
            <w:r w:rsidR="007F5A18">
              <w:rPr>
                <w:rFonts w:ascii="Times New Roman" w:hAnsi="Times New Roman" w:cs="Times New Roman"/>
              </w:rPr>
              <w:t>10</w:t>
            </w:r>
            <w:r>
              <w:rPr>
                <w:rFonts w:ascii="Times New Roman" w:hAnsi="Times New Roman" w:cs="Times New Roman"/>
              </w:rPr>
              <w:t xml:space="preserve"> рабочих дней с момента поступления Заявки от Заказчика</w:t>
            </w:r>
          </w:p>
        </w:tc>
      </w:tr>
      <w:tr w:rsidR="00756147" w:rsidRPr="008252D7" w:rsidTr="008252D7">
        <w:tc>
          <w:tcPr>
            <w:tcW w:w="4503" w:type="dxa"/>
          </w:tcPr>
          <w:p w:rsidR="00756147" w:rsidRDefault="00756147" w:rsidP="008252D7">
            <w:pPr>
              <w:ind w:right="-1"/>
              <w:rPr>
                <w:rFonts w:ascii="Times New Roman" w:hAnsi="Times New Roman" w:cs="Times New Roman"/>
              </w:rPr>
            </w:pPr>
            <w:r w:rsidRPr="006474B5">
              <w:rPr>
                <w:rFonts w:ascii="Times New Roman" w:hAnsi="Times New Roman" w:cs="Times New Roman"/>
              </w:rPr>
              <w:t>Минимальные требования к сроку гарантии качества товара (сроку годности товара)</w:t>
            </w:r>
            <w:r>
              <w:rPr>
                <w:rFonts w:ascii="Times New Roman" w:hAnsi="Times New Roman" w:cs="Times New Roman"/>
              </w:rPr>
              <w:t xml:space="preserve"> или оказанных услуг</w:t>
            </w:r>
          </w:p>
        </w:tc>
        <w:tc>
          <w:tcPr>
            <w:tcW w:w="5812" w:type="dxa"/>
          </w:tcPr>
          <w:p w:rsidR="00756147" w:rsidRPr="00D81448" w:rsidRDefault="00756147" w:rsidP="001803B2">
            <w:pPr>
              <w:ind w:right="-1"/>
              <w:jc w:val="center"/>
              <w:rPr>
                <w:rFonts w:ascii="Times New Roman" w:hAnsi="Times New Roman" w:cs="Times New Roman"/>
              </w:rPr>
            </w:pPr>
            <w:r w:rsidRPr="00D81448">
              <w:rPr>
                <w:rFonts w:ascii="Times New Roman" w:hAnsi="Times New Roman" w:cs="Times New Roman"/>
              </w:rPr>
              <w:t>Остаточный срок годности товара на момент поставки должен составлять не менее 70%.</w:t>
            </w:r>
          </w:p>
        </w:tc>
      </w:tr>
      <w:tr w:rsidR="00756147" w:rsidRPr="008252D7" w:rsidTr="008252D7">
        <w:tc>
          <w:tcPr>
            <w:tcW w:w="4503" w:type="dxa"/>
          </w:tcPr>
          <w:p w:rsidR="00756147" w:rsidRPr="008252D7" w:rsidRDefault="00756147" w:rsidP="00324FCD">
            <w:pPr>
              <w:ind w:right="-1"/>
              <w:rPr>
                <w:rFonts w:ascii="Times New Roman" w:hAnsi="Times New Roman" w:cs="Times New Roman"/>
              </w:rPr>
            </w:pPr>
            <w:r>
              <w:rPr>
                <w:rFonts w:ascii="Times New Roman" w:hAnsi="Times New Roman" w:cs="Times New Roman"/>
              </w:rPr>
              <w:t>Т</w:t>
            </w:r>
            <w:r w:rsidRPr="00204D4E">
              <w:rPr>
                <w:rFonts w:ascii="Times New Roman" w:hAnsi="Times New Roman" w:cs="Times New Roman"/>
              </w:rPr>
              <w:t>ребования к предоставляемым лицензиям, сертификатам или иным документам</w:t>
            </w:r>
          </w:p>
        </w:tc>
        <w:tc>
          <w:tcPr>
            <w:tcW w:w="5812" w:type="dxa"/>
          </w:tcPr>
          <w:p w:rsidR="00756147" w:rsidRPr="008252D7" w:rsidRDefault="00756147" w:rsidP="001803B2">
            <w:pPr>
              <w:ind w:right="-1"/>
              <w:rPr>
                <w:rFonts w:ascii="Times New Roman" w:hAnsi="Times New Roman" w:cs="Times New Roman"/>
              </w:rPr>
            </w:pPr>
            <w:r>
              <w:rPr>
                <w:rFonts w:ascii="Times New Roman" w:hAnsi="Times New Roman" w:cs="Times New Roman"/>
              </w:rPr>
              <w:t>Наличие РУ</w:t>
            </w:r>
          </w:p>
        </w:tc>
      </w:tr>
      <w:tr w:rsidR="00756147" w:rsidRPr="008252D7" w:rsidTr="008252D7">
        <w:tc>
          <w:tcPr>
            <w:tcW w:w="4503" w:type="dxa"/>
          </w:tcPr>
          <w:p w:rsidR="00756147" w:rsidRDefault="00756147" w:rsidP="008252D7">
            <w:pPr>
              <w:ind w:right="-1"/>
              <w:rPr>
                <w:rFonts w:ascii="Times New Roman" w:hAnsi="Times New Roman" w:cs="Times New Roman"/>
              </w:rPr>
            </w:pPr>
            <w:r>
              <w:rPr>
                <w:rFonts w:ascii="Times New Roman" w:hAnsi="Times New Roman" w:cs="Times New Roman"/>
              </w:rPr>
              <w:t>П</w:t>
            </w:r>
            <w:r w:rsidRPr="00204D4E">
              <w:rPr>
                <w:rFonts w:ascii="Times New Roman" w:hAnsi="Times New Roman" w:cs="Times New Roman"/>
              </w:rPr>
              <w:t>орядок и сроки оплаты</w:t>
            </w:r>
          </w:p>
        </w:tc>
        <w:tc>
          <w:tcPr>
            <w:tcW w:w="5812" w:type="dxa"/>
          </w:tcPr>
          <w:p w:rsidR="00756147" w:rsidRDefault="00756147" w:rsidP="001803B2">
            <w:pPr>
              <w:ind w:right="-1"/>
              <w:rPr>
                <w:rFonts w:ascii="Times New Roman" w:hAnsi="Times New Roman" w:cs="Times New Roman"/>
              </w:rPr>
            </w:pPr>
            <w:r>
              <w:rPr>
                <w:rFonts w:ascii="Times New Roman" w:hAnsi="Times New Roman" w:cs="Times New Roman"/>
              </w:rPr>
              <w:t>В течение 30 банковских дней с момента подписания УПД</w:t>
            </w:r>
          </w:p>
          <w:p w:rsidR="003B0BCD" w:rsidRPr="008252D7" w:rsidRDefault="003B0BCD" w:rsidP="001803B2">
            <w:pPr>
              <w:ind w:right="-1"/>
              <w:rPr>
                <w:rFonts w:ascii="Times New Roman" w:hAnsi="Times New Roman" w:cs="Times New Roman"/>
              </w:rPr>
            </w:pPr>
            <w:r>
              <w:rPr>
                <w:rFonts w:ascii="Times New Roman" w:hAnsi="Times New Roman" w:cs="Times New Roman"/>
              </w:rPr>
              <w:t>В течение 15 рабочих дней в случае закупки у СМП</w:t>
            </w:r>
          </w:p>
        </w:tc>
      </w:tr>
      <w:tr w:rsidR="00756147" w:rsidRPr="008252D7" w:rsidTr="008252D7">
        <w:tc>
          <w:tcPr>
            <w:tcW w:w="4503" w:type="dxa"/>
          </w:tcPr>
          <w:p w:rsidR="00756147" w:rsidRPr="00204D4E" w:rsidRDefault="00756147" w:rsidP="008252D7">
            <w:pPr>
              <w:ind w:right="-1"/>
              <w:rPr>
                <w:rFonts w:ascii="Times New Roman" w:hAnsi="Times New Roman" w:cs="Times New Roman"/>
              </w:rPr>
            </w:pPr>
            <w:r>
              <w:rPr>
                <w:rFonts w:ascii="Times New Roman" w:hAnsi="Times New Roman" w:cs="Times New Roman"/>
              </w:rPr>
              <w:t>Срок</w:t>
            </w:r>
            <w:r w:rsidRPr="00204D4E">
              <w:rPr>
                <w:rFonts w:ascii="Times New Roman" w:hAnsi="Times New Roman" w:cs="Times New Roman"/>
              </w:rPr>
              <w:t xml:space="preserve"> предоставления ценовой информации</w:t>
            </w:r>
          </w:p>
        </w:tc>
        <w:tc>
          <w:tcPr>
            <w:tcW w:w="5812" w:type="dxa"/>
          </w:tcPr>
          <w:p w:rsidR="00756147" w:rsidRPr="008252D7" w:rsidRDefault="00EA5244" w:rsidP="00DD301F">
            <w:pPr>
              <w:ind w:right="-1"/>
              <w:rPr>
                <w:rFonts w:ascii="Times New Roman" w:hAnsi="Times New Roman" w:cs="Times New Roman"/>
              </w:rPr>
            </w:pPr>
            <w:r>
              <w:rPr>
                <w:rFonts w:ascii="Times New Roman" w:hAnsi="Times New Roman" w:cs="Times New Roman"/>
              </w:rPr>
              <w:t>15</w:t>
            </w:r>
            <w:r w:rsidR="007F5A18">
              <w:rPr>
                <w:rFonts w:ascii="Times New Roman" w:hAnsi="Times New Roman" w:cs="Times New Roman"/>
              </w:rPr>
              <w:t>.02.2019</w:t>
            </w:r>
          </w:p>
        </w:tc>
      </w:tr>
    </w:tbl>
    <w:p w:rsidR="006474B5" w:rsidRDefault="006474B5" w:rsidP="00E961F8">
      <w:pPr>
        <w:ind w:left="-426" w:right="-1" w:firstLine="568"/>
        <w:jc w:val="center"/>
        <w:rPr>
          <w:rFonts w:ascii="Times New Roman" w:hAnsi="Times New Roman" w:cs="Times New Roman"/>
          <w:b/>
          <w:sz w:val="28"/>
          <w:szCs w:val="28"/>
        </w:rPr>
      </w:pPr>
    </w:p>
    <w:p w:rsidR="006474B5" w:rsidRDefault="006474B5">
      <w:pPr>
        <w:rPr>
          <w:rFonts w:ascii="Times New Roman" w:hAnsi="Times New Roman" w:cs="Times New Roman"/>
          <w:b/>
          <w:sz w:val="28"/>
          <w:szCs w:val="28"/>
        </w:rPr>
      </w:pPr>
      <w:r>
        <w:rPr>
          <w:rFonts w:ascii="Times New Roman" w:hAnsi="Times New Roman" w:cs="Times New Roman"/>
          <w:b/>
          <w:sz w:val="28"/>
          <w:szCs w:val="28"/>
        </w:rPr>
        <w:br w:type="page"/>
      </w:r>
    </w:p>
    <w:p w:rsidR="00204D4E" w:rsidRDefault="00204D4E" w:rsidP="00E961F8">
      <w:pPr>
        <w:ind w:left="-426" w:right="-1" w:firstLine="568"/>
        <w:jc w:val="center"/>
        <w:rPr>
          <w:rFonts w:ascii="Times New Roman" w:hAnsi="Times New Roman" w:cs="Times New Roman"/>
          <w:b/>
          <w:sz w:val="28"/>
          <w:szCs w:val="28"/>
        </w:rPr>
      </w:pPr>
    </w:p>
    <w:p w:rsidR="00585F05" w:rsidRDefault="00E961F8"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Спецификация</w:t>
      </w:r>
    </w:p>
    <w:tbl>
      <w:tblPr>
        <w:tblW w:w="5000" w:type="pct"/>
        <w:tblLayout w:type="fixed"/>
        <w:tblLook w:val="04A0" w:firstRow="1" w:lastRow="0" w:firstColumn="1" w:lastColumn="0" w:noHBand="0" w:noVBand="1"/>
      </w:tblPr>
      <w:tblGrid>
        <w:gridCol w:w="412"/>
        <w:gridCol w:w="1260"/>
        <w:gridCol w:w="5098"/>
        <w:gridCol w:w="569"/>
        <w:gridCol w:w="706"/>
        <w:gridCol w:w="852"/>
        <w:gridCol w:w="674"/>
      </w:tblGrid>
      <w:tr w:rsidR="00EA5244" w:rsidRPr="00EA5244" w:rsidTr="00EA5244">
        <w:trPr>
          <w:trHeight w:val="762"/>
        </w:trPr>
        <w:tc>
          <w:tcPr>
            <w:tcW w:w="216" w:type="pct"/>
            <w:tcBorders>
              <w:top w:val="single" w:sz="8" w:space="0" w:color="000000"/>
              <w:left w:val="single" w:sz="8" w:space="0" w:color="000000"/>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w:t>
            </w:r>
          </w:p>
        </w:tc>
        <w:tc>
          <w:tcPr>
            <w:tcW w:w="658" w:type="pct"/>
            <w:tcBorders>
              <w:top w:val="single" w:sz="8" w:space="0" w:color="000000"/>
              <w:left w:val="nil"/>
              <w:bottom w:val="single" w:sz="4" w:space="0" w:color="000000"/>
              <w:right w:val="nil"/>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Наименование товара</w:t>
            </w:r>
          </w:p>
        </w:tc>
        <w:tc>
          <w:tcPr>
            <w:tcW w:w="2663" w:type="pct"/>
            <w:tcBorders>
              <w:top w:val="single" w:sz="8" w:space="0" w:color="000000"/>
              <w:left w:val="single" w:sz="4" w:space="0" w:color="000000"/>
              <w:bottom w:val="nil"/>
              <w:right w:val="nil"/>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Технические характеристики</w:t>
            </w:r>
          </w:p>
        </w:tc>
        <w:tc>
          <w:tcPr>
            <w:tcW w:w="297" w:type="pct"/>
            <w:tcBorders>
              <w:top w:val="single" w:sz="8" w:space="0" w:color="000000"/>
              <w:left w:val="single" w:sz="4" w:space="0" w:color="000000"/>
              <w:bottom w:val="single" w:sz="4" w:space="0" w:color="000000"/>
              <w:right w:val="single" w:sz="4" w:space="0" w:color="000000"/>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Ед. изм.</w:t>
            </w:r>
          </w:p>
        </w:tc>
        <w:tc>
          <w:tcPr>
            <w:tcW w:w="369" w:type="pct"/>
            <w:tcBorders>
              <w:top w:val="single" w:sz="8" w:space="0" w:color="000000"/>
              <w:left w:val="nil"/>
              <w:bottom w:val="single" w:sz="4" w:space="0" w:color="000000"/>
              <w:right w:val="single" w:sz="4" w:space="0" w:color="000000"/>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 xml:space="preserve">Кол-во </w:t>
            </w:r>
          </w:p>
        </w:tc>
        <w:tc>
          <w:tcPr>
            <w:tcW w:w="445" w:type="pct"/>
            <w:tcBorders>
              <w:top w:val="single" w:sz="8" w:space="0" w:color="000000"/>
              <w:left w:val="nil"/>
              <w:bottom w:val="single" w:sz="4" w:space="0" w:color="000000"/>
              <w:right w:val="single" w:sz="4" w:space="0" w:color="000000"/>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highlight w:val="yellow"/>
                <w:lang w:eastAsia="ru-RU"/>
              </w:rPr>
            </w:pPr>
            <w:r w:rsidRPr="00EA5244">
              <w:rPr>
                <w:rFonts w:ascii="Times New Roman" w:eastAsia="Times New Roman" w:hAnsi="Times New Roman" w:cs="Times New Roman"/>
                <w:highlight w:val="yellow"/>
                <w:lang w:eastAsia="ru-RU"/>
              </w:rPr>
              <w:t>Цена за ед. с НДС*</w:t>
            </w:r>
          </w:p>
        </w:tc>
        <w:tc>
          <w:tcPr>
            <w:tcW w:w="352" w:type="pct"/>
            <w:tcBorders>
              <w:top w:val="single" w:sz="8" w:space="0" w:color="000000"/>
              <w:left w:val="nil"/>
              <w:bottom w:val="single" w:sz="4" w:space="0" w:color="000000"/>
              <w:right w:val="single" w:sz="4" w:space="0" w:color="000000"/>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highlight w:val="yellow"/>
                <w:lang w:eastAsia="ru-RU"/>
              </w:rPr>
            </w:pPr>
            <w:r w:rsidRPr="00EA5244">
              <w:rPr>
                <w:rFonts w:ascii="Times New Roman" w:eastAsia="Times New Roman" w:hAnsi="Times New Roman" w:cs="Times New Roman"/>
                <w:highlight w:val="yellow"/>
                <w:lang w:eastAsia="ru-RU"/>
              </w:rPr>
              <w:t>Сумма*</w:t>
            </w:r>
          </w:p>
        </w:tc>
      </w:tr>
      <w:tr w:rsidR="00EA5244" w:rsidRPr="00EA5244" w:rsidTr="00EA5244">
        <w:trPr>
          <w:trHeight w:val="1680"/>
        </w:trPr>
        <w:tc>
          <w:tcPr>
            <w:tcW w:w="216" w:type="pct"/>
            <w:tcBorders>
              <w:top w:val="nil"/>
              <w:left w:val="single" w:sz="8" w:space="0" w:color="000000"/>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1</w:t>
            </w:r>
          </w:p>
        </w:tc>
        <w:tc>
          <w:tcPr>
            <w:tcW w:w="658" w:type="pct"/>
            <w:tcBorders>
              <w:top w:val="nil"/>
              <w:left w:val="nil"/>
              <w:bottom w:val="single" w:sz="4" w:space="0" w:color="000000"/>
              <w:right w:val="nil"/>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Пластины-</w:t>
            </w:r>
            <w:proofErr w:type="spellStart"/>
            <w:r w:rsidRPr="00EA5244">
              <w:rPr>
                <w:rFonts w:ascii="Times New Roman" w:eastAsia="Times New Roman" w:hAnsi="Times New Roman" w:cs="Times New Roman"/>
                <w:lang w:eastAsia="ru-RU"/>
              </w:rPr>
              <w:t>эдектроды</w:t>
            </w:r>
            <w:proofErr w:type="spellEnd"/>
            <w:r w:rsidRPr="00EA5244">
              <w:rPr>
                <w:rFonts w:ascii="Times New Roman" w:eastAsia="Times New Roman" w:hAnsi="Times New Roman" w:cs="Times New Roman"/>
                <w:lang w:eastAsia="ru-RU"/>
              </w:rPr>
              <w:t xml:space="preserve"> запаивающие TSCD </w:t>
            </w:r>
            <w:proofErr w:type="spellStart"/>
            <w:r w:rsidRPr="00EA5244">
              <w:rPr>
                <w:rFonts w:ascii="Times New Roman" w:eastAsia="Times New Roman" w:hAnsi="Times New Roman" w:cs="Times New Roman"/>
                <w:lang w:eastAsia="ru-RU"/>
              </w:rPr>
              <w:t>wafers</w:t>
            </w:r>
            <w:proofErr w:type="spellEnd"/>
          </w:p>
        </w:tc>
        <w:tc>
          <w:tcPr>
            <w:tcW w:w="2663" w:type="pct"/>
            <w:tcBorders>
              <w:top w:val="single" w:sz="4" w:space="0" w:color="000000"/>
              <w:left w:val="single" w:sz="4" w:space="0" w:color="000000"/>
              <w:bottom w:val="single" w:sz="4" w:space="0" w:color="auto"/>
              <w:right w:val="single" w:sz="4" w:space="0" w:color="000000"/>
            </w:tcBorders>
            <w:shd w:val="clear" w:color="auto" w:fill="auto"/>
            <w:hideMark/>
          </w:tcPr>
          <w:p w:rsidR="00EA5244" w:rsidRPr="00EA5244" w:rsidRDefault="00EA5244" w:rsidP="00F21A00">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 xml:space="preserve">Основной материал должен быть  медь.  Размер (длина х ширина):  не более 35 х 12 мм. Форма: прямоугольная с одним скошенным углом. Толщина не более 0,3 мм. Нагрев – не менее 300 град С за счет встроенной микросхемы.  Количество контактов микросхемы –  не менее 2 шт. Диаметр контакта микросхемы не более 3,5 мм. Упаковка: прозрачный контейнер с двумя подающими пружинами. Диаметр соединяемых трубок от 3,9 до 4,5 мм.  </w:t>
            </w:r>
          </w:p>
        </w:tc>
        <w:tc>
          <w:tcPr>
            <w:tcW w:w="297"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proofErr w:type="spellStart"/>
            <w:r w:rsidRPr="00EA5244">
              <w:rPr>
                <w:rFonts w:ascii="Times New Roman" w:eastAsia="Times New Roman" w:hAnsi="Times New Roman" w:cs="Times New Roman"/>
                <w:lang w:eastAsia="ru-RU"/>
              </w:rPr>
              <w:t>шт</w:t>
            </w:r>
            <w:proofErr w:type="spellEnd"/>
          </w:p>
        </w:tc>
        <w:tc>
          <w:tcPr>
            <w:tcW w:w="369"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1400</w:t>
            </w:r>
          </w:p>
        </w:tc>
        <w:tc>
          <w:tcPr>
            <w:tcW w:w="445"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c>
          <w:tcPr>
            <w:tcW w:w="352"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r>
      <w:tr w:rsidR="00EA5244" w:rsidRPr="00EA5244" w:rsidTr="00EA5244">
        <w:trPr>
          <w:trHeight w:val="2179"/>
        </w:trPr>
        <w:tc>
          <w:tcPr>
            <w:tcW w:w="216" w:type="pct"/>
            <w:tcBorders>
              <w:top w:val="nil"/>
              <w:left w:val="single" w:sz="8" w:space="0" w:color="000000"/>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2</w:t>
            </w:r>
          </w:p>
        </w:tc>
        <w:tc>
          <w:tcPr>
            <w:tcW w:w="658" w:type="pct"/>
            <w:tcBorders>
              <w:top w:val="nil"/>
              <w:left w:val="nil"/>
              <w:bottom w:val="single" w:sz="4" w:space="0" w:color="000000"/>
              <w:right w:val="nil"/>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Набор для обработки тромбоцитов (</w:t>
            </w:r>
            <w:proofErr w:type="spellStart"/>
            <w:r w:rsidRPr="00EA5244">
              <w:rPr>
                <w:rFonts w:ascii="Times New Roman" w:eastAsia="Times New Roman" w:hAnsi="Times New Roman" w:cs="Times New Roman"/>
                <w:lang w:eastAsia="ru-RU"/>
              </w:rPr>
              <w:t>вирусинактивация</w:t>
            </w:r>
            <w:proofErr w:type="spellEnd"/>
            <w:r w:rsidRPr="00EA5244">
              <w:rPr>
                <w:rFonts w:ascii="Times New Roman" w:eastAsia="Times New Roman" w:hAnsi="Times New Roman" w:cs="Times New Roman"/>
                <w:lang w:eastAsia="ru-RU"/>
              </w:rPr>
              <w:t>)</w:t>
            </w:r>
          </w:p>
        </w:tc>
        <w:tc>
          <w:tcPr>
            <w:tcW w:w="2663" w:type="pct"/>
            <w:tcBorders>
              <w:top w:val="nil"/>
              <w:left w:val="single" w:sz="4" w:space="0" w:color="000000"/>
              <w:bottom w:val="single" w:sz="4" w:space="0" w:color="auto"/>
              <w:right w:val="single" w:sz="4" w:space="0" w:color="000000"/>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 xml:space="preserve">Предназначен для </w:t>
            </w:r>
            <w:proofErr w:type="spellStart"/>
            <w:r w:rsidRPr="00EA5244">
              <w:rPr>
                <w:rFonts w:ascii="Times New Roman" w:eastAsia="Times New Roman" w:hAnsi="Times New Roman" w:cs="Times New Roman"/>
                <w:lang w:eastAsia="ru-RU"/>
              </w:rPr>
              <w:t>инактивации</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аферезных</w:t>
            </w:r>
            <w:proofErr w:type="spellEnd"/>
            <w:r w:rsidRPr="00EA5244">
              <w:rPr>
                <w:rFonts w:ascii="Times New Roman" w:eastAsia="Times New Roman" w:hAnsi="Times New Roman" w:cs="Times New Roman"/>
                <w:lang w:eastAsia="ru-RU"/>
              </w:rPr>
              <w:t xml:space="preserve"> тромбоцитов и тромбоцитов полученных из цельной крови. Одноразовый набор для тромбоцитов включает: прозрачную внешнюю упаковку с белой отрывной полоской для открывания, непрозрачная упаковочная фольга с пакетом раствора рибофлавина объемом 35±5 мл (500 µМ рибофлавина в 0,9% растворе хлорида натрия), пакет для хранения и облучения, снабженный трубками, хрупкими соединителями, прокалываемым портом и пробиркой для проб. Совместим с аппаратом для </w:t>
            </w:r>
            <w:proofErr w:type="spellStart"/>
            <w:r w:rsidRPr="00EA5244">
              <w:rPr>
                <w:rFonts w:ascii="Times New Roman" w:eastAsia="Times New Roman" w:hAnsi="Times New Roman" w:cs="Times New Roman"/>
                <w:lang w:eastAsia="ru-RU"/>
              </w:rPr>
              <w:t>инактивации</w:t>
            </w:r>
            <w:proofErr w:type="spellEnd"/>
            <w:r w:rsidRPr="00EA5244">
              <w:rPr>
                <w:rFonts w:ascii="Times New Roman" w:eastAsia="Times New Roman" w:hAnsi="Times New Roman" w:cs="Times New Roman"/>
                <w:lang w:eastAsia="ru-RU"/>
              </w:rPr>
              <w:t xml:space="preserve"> компонентов крови </w:t>
            </w:r>
            <w:proofErr w:type="spellStart"/>
            <w:r w:rsidRPr="00EA5244">
              <w:rPr>
                <w:rFonts w:ascii="Times New Roman" w:eastAsia="Times New Roman" w:hAnsi="Times New Roman" w:cs="Times New Roman"/>
                <w:lang w:eastAsia="ru-RU"/>
              </w:rPr>
              <w:t>Mirasol</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Terumo</w:t>
            </w:r>
            <w:proofErr w:type="spellEnd"/>
            <w:r w:rsidRPr="00EA5244">
              <w:rPr>
                <w:rFonts w:ascii="Times New Roman" w:eastAsia="Times New Roman" w:hAnsi="Times New Roman" w:cs="Times New Roman"/>
                <w:lang w:eastAsia="ru-RU"/>
              </w:rPr>
              <w:t xml:space="preserve"> BCT, </w:t>
            </w:r>
            <w:proofErr w:type="spellStart"/>
            <w:r w:rsidRPr="00EA5244">
              <w:rPr>
                <w:rFonts w:ascii="Times New Roman" w:eastAsia="Times New Roman" w:hAnsi="Times New Roman" w:cs="Times New Roman"/>
                <w:lang w:eastAsia="ru-RU"/>
              </w:rPr>
              <w:t>Inc</w:t>
            </w:r>
            <w:proofErr w:type="spellEnd"/>
            <w:r w:rsidRPr="00EA5244">
              <w:rPr>
                <w:rFonts w:ascii="Times New Roman" w:eastAsia="Times New Roman" w:hAnsi="Times New Roman" w:cs="Times New Roman"/>
                <w:lang w:eastAsia="ru-RU"/>
              </w:rPr>
              <w:t xml:space="preserve"> (Соединенные Штаты Америки</w:t>
            </w:r>
            <w:r>
              <w:rPr>
                <w:rFonts w:ascii="Times New Roman" w:eastAsia="Times New Roman" w:hAnsi="Times New Roman" w:cs="Times New Roman"/>
                <w:lang w:eastAsia="ru-RU"/>
              </w:rPr>
              <w:t>)</w:t>
            </w:r>
          </w:p>
        </w:tc>
        <w:tc>
          <w:tcPr>
            <w:tcW w:w="297"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набор</w:t>
            </w:r>
          </w:p>
        </w:tc>
        <w:tc>
          <w:tcPr>
            <w:tcW w:w="369"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100</w:t>
            </w:r>
          </w:p>
        </w:tc>
        <w:tc>
          <w:tcPr>
            <w:tcW w:w="445"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c>
          <w:tcPr>
            <w:tcW w:w="352"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r>
      <w:tr w:rsidR="00EA5244" w:rsidRPr="00EA5244" w:rsidTr="00EA5244">
        <w:trPr>
          <w:trHeight w:val="3762"/>
        </w:trPr>
        <w:tc>
          <w:tcPr>
            <w:tcW w:w="216" w:type="pct"/>
            <w:tcBorders>
              <w:top w:val="nil"/>
              <w:left w:val="single" w:sz="8" w:space="0" w:color="000000"/>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3</w:t>
            </w:r>
          </w:p>
        </w:tc>
        <w:tc>
          <w:tcPr>
            <w:tcW w:w="658" w:type="pct"/>
            <w:tcBorders>
              <w:top w:val="nil"/>
              <w:left w:val="nil"/>
              <w:bottom w:val="single" w:sz="4" w:space="0" w:color="000000"/>
              <w:right w:val="nil"/>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 xml:space="preserve">Набор для </w:t>
            </w:r>
            <w:proofErr w:type="spellStart"/>
            <w:r w:rsidRPr="00EA5244">
              <w:rPr>
                <w:rFonts w:ascii="Times New Roman" w:eastAsia="Times New Roman" w:hAnsi="Times New Roman" w:cs="Times New Roman"/>
                <w:lang w:eastAsia="ru-RU"/>
              </w:rPr>
              <w:t>плазмообмена</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Exchange</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Set</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Терумо</w:t>
            </w:r>
            <w:proofErr w:type="spellEnd"/>
            <w:r w:rsidRPr="00EA5244">
              <w:rPr>
                <w:rFonts w:ascii="Times New Roman" w:eastAsia="Times New Roman" w:hAnsi="Times New Roman" w:cs="Times New Roman"/>
                <w:lang w:eastAsia="ru-RU"/>
              </w:rPr>
              <w:t xml:space="preserve"> БСТ, Инк., </w:t>
            </w:r>
          </w:p>
        </w:tc>
        <w:tc>
          <w:tcPr>
            <w:tcW w:w="2663" w:type="pct"/>
            <w:tcBorders>
              <w:top w:val="single" w:sz="4" w:space="0" w:color="000000"/>
              <w:left w:val="single" w:sz="4" w:space="0" w:color="000000"/>
              <w:bottom w:val="single" w:sz="4" w:space="0" w:color="auto"/>
              <w:right w:val="single" w:sz="4" w:space="0" w:color="000000"/>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 xml:space="preserve">Предназначена для проведения в автоматическом режиме </w:t>
            </w:r>
            <w:proofErr w:type="spellStart"/>
            <w:r w:rsidRPr="00EA5244">
              <w:rPr>
                <w:rFonts w:ascii="Times New Roman" w:eastAsia="Times New Roman" w:hAnsi="Times New Roman" w:cs="Times New Roman"/>
                <w:lang w:eastAsia="ru-RU"/>
              </w:rPr>
              <w:t>плазмообмена</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плазмообмена</w:t>
            </w:r>
            <w:proofErr w:type="spellEnd"/>
            <w:r w:rsidRPr="00EA5244">
              <w:rPr>
                <w:rFonts w:ascii="Times New Roman" w:eastAsia="Times New Roman" w:hAnsi="Times New Roman" w:cs="Times New Roman"/>
                <w:lang w:eastAsia="ru-RU"/>
              </w:rPr>
              <w:t xml:space="preserve"> со вторичным фильтрующим элементом - каскадной </w:t>
            </w:r>
            <w:proofErr w:type="spellStart"/>
            <w:r w:rsidRPr="00EA5244">
              <w:rPr>
                <w:rFonts w:ascii="Times New Roman" w:eastAsia="Times New Roman" w:hAnsi="Times New Roman" w:cs="Times New Roman"/>
                <w:lang w:eastAsia="ru-RU"/>
              </w:rPr>
              <w:t>плазмофильтрации</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эритроцитафереза.Одноразовый</w:t>
            </w:r>
            <w:proofErr w:type="spellEnd"/>
            <w:r w:rsidRPr="00EA5244">
              <w:rPr>
                <w:rFonts w:ascii="Times New Roman" w:eastAsia="Times New Roman" w:hAnsi="Times New Roman" w:cs="Times New Roman"/>
                <w:lang w:eastAsia="ru-RU"/>
              </w:rPr>
              <w:t xml:space="preserve"> стерильный полностью закрытый сет с системой отбора проб для анализа, адаптированную для вакуумных пробирок. </w:t>
            </w:r>
            <w:r w:rsidRPr="00EA5244">
              <w:rPr>
                <w:rFonts w:ascii="Times New Roman" w:eastAsia="Times New Roman" w:hAnsi="Times New Roman" w:cs="Times New Roman"/>
                <w:lang w:eastAsia="ru-RU"/>
              </w:rPr>
              <w:br/>
              <w:t xml:space="preserve">Способ загрузки сета - кассетный, с автоматическим считыванием штрих-кода сета для отчета о процедуре. Схема подключения пациента - одно или </w:t>
            </w:r>
            <w:proofErr w:type="spellStart"/>
            <w:r w:rsidRPr="00EA5244">
              <w:rPr>
                <w:rFonts w:ascii="Times New Roman" w:eastAsia="Times New Roman" w:hAnsi="Times New Roman" w:cs="Times New Roman"/>
                <w:lang w:eastAsia="ru-RU"/>
              </w:rPr>
              <w:t>двухигольная</w:t>
            </w:r>
            <w:proofErr w:type="spellEnd"/>
            <w:r w:rsidRPr="00EA5244">
              <w:rPr>
                <w:rFonts w:ascii="Times New Roman" w:eastAsia="Times New Roman" w:hAnsi="Times New Roman" w:cs="Times New Roman"/>
                <w:lang w:eastAsia="ru-RU"/>
              </w:rPr>
              <w:t>. Экстракорпоральный объём набора - не более 185 мл. Цветовая дифференцировка линий сбора антикоагулянта, восполняющего и замещающего растворов - наличие. Объем мешка для удаления плазмы  -  не менее 4000 мл.                     Объем вентиляционного мешка - не менее 200 мл. Возможность использования дополнительной магистрали для каскадных методик.- наличие.  Совместимость с аппаратом для сепарации компонентов крови «</w:t>
            </w:r>
            <w:proofErr w:type="spellStart"/>
            <w:r w:rsidRPr="00EA5244">
              <w:rPr>
                <w:rFonts w:ascii="Times New Roman" w:eastAsia="Times New Roman" w:hAnsi="Times New Roman" w:cs="Times New Roman"/>
                <w:lang w:eastAsia="ru-RU"/>
              </w:rPr>
              <w:t>Spectra</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Optia</w:t>
            </w:r>
            <w:proofErr w:type="spellEnd"/>
            <w:r w:rsidRPr="00EA5244">
              <w:rPr>
                <w:rFonts w:ascii="Times New Roman" w:eastAsia="Times New Roman" w:hAnsi="Times New Roman" w:cs="Times New Roman"/>
                <w:lang w:eastAsia="ru-RU"/>
              </w:rPr>
              <w:t xml:space="preserve">» - наличие. Упаковка - индивидуальная, стерильная. </w:t>
            </w:r>
          </w:p>
        </w:tc>
        <w:tc>
          <w:tcPr>
            <w:tcW w:w="297"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proofErr w:type="spellStart"/>
            <w:r w:rsidRPr="00EA5244">
              <w:rPr>
                <w:rFonts w:ascii="Times New Roman" w:eastAsia="Times New Roman" w:hAnsi="Times New Roman" w:cs="Times New Roman"/>
                <w:lang w:eastAsia="ru-RU"/>
              </w:rPr>
              <w:t>шт</w:t>
            </w:r>
            <w:proofErr w:type="spellEnd"/>
          </w:p>
        </w:tc>
        <w:tc>
          <w:tcPr>
            <w:tcW w:w="369"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18</w:t>
            </w:r>
          </w:p>
        </w:tc>
        <w:tc>
          <w:tcPr>
            <w:tcW w:w="445"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c>
          <w:tcPr>
            <w:tcW w:w="352"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r>
      <w:tr w:rsidR="00EA5244" w:rsidRPr="00EA5244" w:rsidTr="00EA5244">
        <w:trPr>
          <w:trHeight w:val="3739"/>
        </w:trPr>
        <w:tc>
          <w:tcPr>
            <w:tcW w:w="216" w:type="pct"/>
            <w:tcBorders>
              <w:top w:val="nil"/>
              <w:left w:val="single" w:sz="8" w:space="0" w:color="000000"/>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lastRenderedPageBreak/>
              <w:t>4</w:t>
            </w:r>
          </w:p>
        </w:tc>
        <w:tc>
          <w:tcPr>
            <w:tcW w:w="658" w:type="pct"/>
            <w:tcBorders>
              <w:top w:val="nil"/>
              <w:left w:val="nil"/>
              <w:bottom w:val="single" w:sz="4" w:space="0" w:color="000000"/>
              <w:right w:val="nil"/>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 xml:space="preserve">Набор для сбора </w:t>
            </w:r>
            <w:proofErr w:type="spellStart"/>
            <w:r w:rsidRPr="00EA5244">
              <w:rPr>
                <w:rFonts w:ascii="Times New Roman" w:eastAsia="Times New Roman" w:hAnsi="Times New Roman" w:cs="Times New Roman"/>
                <w:lang w:eastAsia="ru-RU"/>
              </w:rPr>
              <w:t>мононуклеаров</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Collection</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Set</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Терумо</w:t>
            </w:r>
            <w:proofErr w:type="spellEnd"/>
            <w:r w:rsidRPr="00EA5244">
              <w:rPr>
                <w:rFonts w:ascii="Times New Roman" w:eastAsia="Times New Roman" w:hAnsi="Times New Roman" w:cs="Times New Roman"/>
                <w:lang w:eastAsia="ru-RU"/>
              </w:rPr>
              <w:t xml:space="preserve"> БСТ, Инк., </w:t>
            </w:r>
          </w:p>
        </w:tc>
        <w:tc>
          <w:tcPr>
            <w:tcW w:w="2663" w:type="pct"/>
            <w:tcBorders>
              <w:top w:val="nil"/>
              <w:left w:val="single" w:sz="4" w:space="0" w:color="000000"/>
              <w:bottom w:val="single" w:sz="4" w:space="0" w:color="auto"/>
              <w:right w:val="single" w:sz="4" w:space="0" w:color="000000"/>
            </w:tcBorders>
            <w:shd w:val="clear" w:color="auto" w:fill="auto"/>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 xml:space="preserve">Предназначен для выполнения процедур по сбору </w:t>
            </w:r>
            <w:proofErr w:type="spellStart"/>
            <w:r w:rsidRPr="00EA5244">
              <w:rPr>
                <w:rFonts w:ascii="Times New Roman" w:eastAsia="Times New Roman" w:hAnsi="Times New Roman" w:cs="Times New Roman"/>
                <w:lang w:eastAsia="ru-RU"/>
              </w:rPr>
              <w:t>мононуклеарных</w:t>
            </w:r>
            <w:proofErr w:type="spellEnd"/>
            <w:r w:rsidRPr="00EA5244">
              <w:rPr>
                <w:rFonts w:ascii="Times New Roman" w:eastAsia="Times New Roman" w:hAnsi="Times New Roman" w:cs="Times New Roman"/>
                <w:lang w:eastAsia="ru-RU"/>
              </w:rPr>
              <w:t xml:space="preserve"> клеток крови. Одноразовый стерильный полностью закрытый сет с системой отбора проб для анализа, адаптированную для вакуумных пробирок. </w:t>
            </w:r>
            <w:r w:rsidRPr="00EA5244">
              <w:rPr>
                <w:rFonts w:ascii="Times New Roman" w:eastAsia="Times New Roman" w:hAnsi="Times New Roman" w:cs="Times New Roman"/>
                <w:lang w:eastAsia="ru-RU"/>
              </w:rPr>
              <w:br/>
              <w:t>для соединения магистралей</w:t>
            </w:r>
            <w:r w:rsidRPr="00EA5244">
              <w:rPr>
                <w:rFonts w:ascii="Times New Roman" w:eastAsia="Times New Roman" w:hAnsi="Times New Roman" w:cs="Times New Roman"/>
                <w:lang w:eastAsia="ru-RU"/>
              </w:rPr>
              <w:br/>
              <w:t xml:space="preserve">Способ загрузки сета - кассетный, с автоматическим считыванием штрих-кода сета для отчета о процедуре. Схема подключения пациента - одно или </w:t>
            </w:r>
            <w:proofErr w:type="spellStart"/>
            <w:r w:rsidRPr="00EA5244">
              <w:rPr>
                <w:rFonts w:ascii="Times New Roman" w:eastAsia="Times New Roman" w:hAnsi="Times New Roman" w:cs="Times New Roman"/>
                <w:lang w:eastAsia="ru-RU"/>
              </w:rPr>
              <w:t>двухигольная</w:t>
            </w:r>
            <w:proofErr w:type="spellEnd"/>
            <w:r w:rsidRPr="00EA5244">
              <w:rPr>
                <w:rFonts w:ascii="Times New Roman" w:eastAsia="Times New Roman" w:hAnsi="Times New Roman" w:cs="Times New Roman"/>
                <w:lang w:eastAsia="ru-RU"/>
              </w:rPr>
              <w:t>. Экстракорпоральный объём набора - не более 191 мл. Цветовая дифференцировка линий сбора антикоагулянта, восполняющего и замещающего растворов - наличие. Объем мешка для сбора плазмы, мл - не менее 1000 мл. Объем мешка для сбора  клеток крови, мл - не менее 1000 мл. Объем вентиляционного мешка  -  не менее 200 мл.  Совместимость с аппаратом для сепарации компонентов крови «</w:t>
            </w:r>
            <w:proofErr w:type="spellStart"/>
            <w:r w:rsidRPr="00EA5244">
              <w:rPr>
                <w:rFonts w:ascii="Times New Roman" w:eastAsia="Times New Roman" w:hAnsi="Times New Roman" w:cs="Times New Roman"/>
                <w:lang w:eastAsia="ru-RU"/>
              </w:rPr>
              <w:t>Spectra</w:t>
            </w:r>
            <w:proofErr w:type="spellEnd"/>
            <w:r w:rsidRPr="00EA5244">
              <w:rPr>
                <w:rFonts w:ascii="Times New Roman" w:eastAsia="Times New Roman" w:hAnsi="Times New Roman" w:cs="Times New Roman"/>
                <w:lang w:eastAsia="ru-RU"/>
              </w:rPr>
              <w:t xml:space="preserve"> </w:t>
            </w:r>
            <w:proofErr w:type="spellStart"/>
            <w:r w:rsidRPr="00EA5244">
              <w:rPr>
                <w:rFonts w:ascii="Times New Roman" w:eastAsia="Times New Roman" w:hAnsi="Times New Roman" w:cs="Times New Roman"/>
                <w:lang w:eastAsia="ru-RU"/>
              </w:rPr>
              <w:t>Optia</w:t>
            </w:r>
            <w:proofErr w:type="spellEnd"/>
            <w:r w:rsidRPr="00EA5244">
              <w:rPr>
                <w:rFonts w:ascii="Times New Roman" w:eastAsia="Times New Roman" w:hAnsi="Times New Roman" w:cs="Times New Roman"/>
                <w:lang w:eastAsia="ru-RU"/>
              </w:rPr>
              <w:t xml:space="preserve">» - наличие. Упаковка - индивидуальная, стерильная. </w:t>
            </w:r>
          </w:p>
        </w:tc>
        <w:tc>
          <w:tcPr>
            <w:tcW w:w="297"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proofErr w:type="spellStart"/>
            <w:r w:rsidRPr="00EA5244">
              <w:rPr>
                <w:rFonts w:ascii="Times New Roman" w:eastAsia="Times New Roman" w:hAnsi="Times New Roman" w:cs="Times New Roman"/>
                <w:lang w:eastAsia="ru-RU"/>
              </w:rPr>
              <w:t>шт</w:t>
            </w:r>
            <w:proofErr w:type="spellEnd"/>
          </w:p>
        </w:tc>
        <w:tc>
          <w:tcPr>
            <w:tcW w:w="369" w:type="pct"/>
            <w:tcBorders>
              <w:top w:val="nil"/>
              <w:left w:val="nil"/>
              <w:bottom w:val="single" w:sz="4" w:space="0" w:color="000000"/>
              <w:right w:val="single" w:sz="4" w:space="0" w:color="000000"/>
            </w:tcBorders>
            <w:shd w:val="clear" w:color="auto" w:fill="auto"/>
            <w:noWrap/>
            <w:hideMark/>
          </w:tcPr>
          <w:p w:rsidR="00EA5244" w:rsidRPr="00EA5244" w:rsidRDefault="00EA5244" w:rsidP="00EA5244">
            <w:pPr>
              <w:spacing w:after="0" w:line="240" w:lineRule="auto"/>
              <w:rPr>
                <w:rFonts w:ascii="Times New Roman" w:eastAsia="Times New Roman" w:hAnsi="Times New Roman" w:cs="Times New Roman"/>
                <w:lang w:eastAsia="ru-RU"/>
              </w:rPr>
            </w:pPr>
            <w:r w:rsidRPr="00EA5244">
              <w:rPr>
                <w:rFonts w:ascii="Times New Roman" w:eastAsia="Times New Roman" w:hAnsi="Times New Roman" w:cs="Times New Roman"/>
                <w:lang w:eastAsia="ru-RU"/>
              </w:rPr>
              <w:t>50</w:t>
            </w:r>
          </w:p>
        </w:tc>
        <w:tc>
          <w:tcPr>
            <w:tcW w:w="445"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c>
          <w:tcPr>
            <w:tcW w:w="352" w:type="pct"/>
            <w:tcBorders>
              <w:top w:val="nil"/>
              <w:left w:val="nil"/>
              <w:bottom w:val="single" w:sz="4" w:space="0" w:color="000000"/>
              <w:right w:val="single" w:sz="4" w:space="0" w:color="000000"/>
            </w:tcBorders>
            <w:shd w:val="clear" w:color="auto" w:fill="auto"/>
            <w:noWrap/>
          </w:tcPr>
          <w:p w:rsidR="00EA5244" w:rsidRPr="00EA5244" w:rsidRDefault="00EA5244" w:rsidP="00EA5244">
            <w:pPr>
              <w:spacing w:after="0" w:line="240" w:lineRule="auto"/>
              <w:rPr>
                <w:rFonts w:ascii="Times New Roman" w:eastAsia="Times New Roman" w:hAnsi="Times New Roman" w:cs="Times New Roman"/>
                <w:lang w:eastAsia="ru-RU"/>
              </w:rPr>
            </w:pPr>
          </w:p>
        </w:tc>
      </w:tr>
    </w:tbl>
    <w:p w:rsidR="003B0BCD" w:rsidRDefault="003B0BCD" w:rsidP="00E961F8">
      <w:pPr>
        <w:ind w:left="-426" w:right="-1" w:firstLine="568"/>
        <w:jc w:val="center"/>
        <w:rPr>
          <w:rFonts w:ascii="Times New Roman" w:hAnsi="Times New Roman" w:cs="Times New Roman"/>
          <w:b/>
          <w:sz w:val="28"/>
          <w:szCs w:val="28"/>
        </w:rPr>
      </w:pPr>
    </w:p>
    <w:p w:rsidR="00DB5EE8" w:rsidRDefault="00735AB0" w:rsidP="00735AB0">
      <w:pPr>
        <w:ind w:left="142" w:hanging="284"/>
        <w:rPr>
          <w:rFonts w:ascii="Times New Roman" w:hAnsi="Times New Roman" w:cs="Times New Roman"/>
          <w:i/>
          <w:sz w:val="24"/>
          <w:szCs w:val="24"/>
        </w:rPr>
      </w:pPr>
      <w:r w:rsidRPr="00735AB0">
        <w:rPr>
          <w:rFonts w:ascii="Times New Roman" w:hAnsi="Times New Roman" w:cs="Times New Roman"/>
          <w:b/>
          <w:sz w:val="24"/>
          <w:szCs w:val="24"/>
          <w:highlight w:val="yellow"/>
        </w:rPr>
        <w:t>*</w:t>
      </w:r>
      <w:r>
        <w:rPr>
          <w:rFonts w:ascii="Times New Roman" w:hAnsi="Times New Roman" w:cs="Times New Roman"/>
          <w:b/>
          <w:sz w:val="24"/>
          <w:szCs w:val="24"/>
        </w:rPr>
        <w:t xml:space="preserve"> </w:t>
      </w:r>
      <w:r w:rsidRPr="00735AB0">
        <w:rPr>
          <w:rFonts w:ascii="Times New Roman" w:hAnsi="Times New Roman" w:cs="Times New Roman"/>
          <w:i/>
          <w:sz w:val="24"/>
          <w:szCs w:val="24"/>
        </w:rPr>
        <w:t>Значения заполняются контрагентом при формировании КП</w:t>
      </w:r>
    </w:p>
    <w:p w:rsidR="006474B5" w:rsidRPr="00F72D5A" w:rsidRDefault="006474B5" w:rsidP="006474B5">
      <w:pPr>
        <w:rPr>
          <w:rFonts w:ascii="Times New Roman" w:hAnsi="Times New Roman"/>
          <w:b/>
          <w:sz w:val="24"/>
          <w:szCs w:val="24"/>
        </w:rPr>
      </w:pPr>
    </w:p>
    <w:p w:rsidR="00441301" w:rsidRPr="009B73E8" w:rsidRDefault="00441301" w:rsidP="006474B5">
      <w:pPr>
        <w:jc w:val="center"/>
        <w:rPr>
          <w:rFonts w:ascii="Times New Roman" w:hAnsi="Times New Roman"/>
          <w:b/>
          <w:sz w:val="24"/>
          <w:szCs w:val="24"/>
        </w:rPr>
      </w:pPr>
      <w:r w:rsidRPr="009B73E8">
        <w:rPr>
          <w:rFonts w:ascii="Times New Roman" w:hAnsi="Times New Roman"/>
          <w:b/>
          <w:sz w:val="24"/>
          <w:szCs w:val="24"/>
        </w:rPr>
        <w:t>Требования к оформлению коммерческих предложений (КП)</w:t>
      </w:r>
    </w:p>
    <w:p w:rsidR="00441301" w:rsidRPr="00441301" w:rsidRDefault="00441301" w:rsidP="00441301">
      <w:pPr>
        <w:pStyle w:val="a7"/>
        <w:numPr>
          <w:ilvl w:val="0"/>
          <w:numId w:val="15"/>
        </w:numPr>
        <w:spacing w:after="0" w:line="240" w:lineRule="auto"/>
        <w:ind w:left="142"/>
        <w:rPr>
          <w:rFonts w:ascii="Times New Roman" w:hAnsi="Times New Roman"/>
          <w:sz w:val="24"/>
          <w:szCs w:val="24"/>
          <w:u w:val="single"/>
        </w:rPr>
      </w:pPr>
      <w:r w:rsidRPr="00441301">
        <w:rPr>
          <w:rFonts w:ascii="Times New Roman" w:hAnsi="Times New Roman"/>
          <w:sz w:val="24"/>
          <w:szCs w:val="24"/>
          <w:u w:val="single"/>
        </w:rPr>
        <w:t>КП должно содержать:</w:t>
      </w:r>
    </w:p>
    <w:p w:rsidR="00441301" w:rsidRPr="004D720D" w:rsidRDefault="00441301" w:rsidP="00441301">
      <w:pPr>
        <w:pStyle w:val="a7"/>
        <w:numPr>
          <w:ilvl w:val="0"/>
          <w:numId w:val="13"/>
        </w:numPr>
        <w:spacing w:after="0" w:line="240" w:lineRule="auto"/>
        <w:jc w:val="both"/>
        <w:rPr>
          <w:rFonts w:ascii="Times New Roman" w:hAnsi="Times New Roman"/>
          <w:sz w:val="24"/>
          <w:szCs w:val="24"/>
          <w:lang w:val="en-US"/>
        </w:rPr>
      </w:pPr>
      <w:r w:rsidRPr="009B73E8">
        <w:rPr>
          <w:rFonts w:ascii="Times New Roman" w:hAnsi="Times New Roman"/>
          <w:sz w:val="24"/>
          <w:szCs w:val="24"/>
        </w:rPr>
        <w:t>Наименование заказчика</w:t>
      </w:r>
      <w:r>
        <w:rPr>
          <w:rFonts w:ascii="Times New Roman" w:hAnsi="Times New Roman"/>
          <w:sz w:val="24"/>
          <w:szCs w:val="24"/>
        </w:rPr>
        <w:t>, контактные данные.</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sidRPr="009B73E8">
        <w:rPr>
          <w:rFonts w:ascii="Times New Roman" w:hAnsi="Times New Roman"/>
          <w:sz w:val="24"/>
          <w:szCs w:val="24"/>
        </w:rPr>
        <w:t>Описание объекта закупки</w:t>
      </w:r>
      <w:r>
        <w:rPr>
          <w:rFonts w:ascii="Times New Roman" w:hAnsi="Times New Roman"/>
          <w:sz w:val="24"/>
          <w:szCs w:val="24"/>
        </w:rPr>
        <w:t xml:space="preserve"> в соответствии с ЗКП</w:t>
      </w:r>
    </w:p>
    <w:p w:rsidR="00441301" w:rsidRPr="004D720D"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hAnsi="Times New Roman"/>
          <w:sz w:val="24"/>
          <w:szCs w:val="24"/>
        </w:rPr>
        <w:t>С</w:t>
      </w:r>
      <w:r w:rsidRPr="009B73E8">
        <w:rPr>
          <w:rFonts w:ascii="Times New Roman" w:hAnsi="Times New Roman"/>
          <w:sz w:val="24"/>
          <w:szCs w:val="24"/>
        </w:rPr>
        <w:t>ведени</w:t>
      </w:r>
      <w:r>
        <w:rPr>
          <w:rFonts w:ascii="Times New Roman" w:hAnsi="Times New Roman"/>
          <w:sz w:val="24"/>
          <w:szCs w:val="24"/>
        </w:rPr>
        <w:t>я</w:t>
      </w:r>
      <w:r w:rsidRPr="009B73E8">
        <w:rPr>
          <w:rFonts w:ascii="Times New Roman" w:hAnsi="Times New Roman"/>
          <w:sz w:val="24"/>
          <w:szCs w:val="24"/>
        </w:rPr>
        <w:t>, необходимы</w:t>
      </w:r>
      <w:r>
        <w:rPr>
          <w:rFonts w:ascii="Times New Roman" w:hAnsi="Times New Roman"/>
          <w:sz w:val="24"/>
          <w:szCs w:val="24"/>
        </w:rPr>
        <w:t>е</w:t>
      </w:r>
      <w:r w:rsidRPr="009B73E8">
        <w:rPr>
          <w:rFonts w:ascii="Times New Roman" w:hAnsi="Times New Roman"/>
          <w:sz w:val="24"/>
          <w:szCs w:val="24"/>
        </w:rPr>
        <w:t xml:space="preserve"> для определения идентичности или однородности товара (работы, услуги) предлагаемых поставщиком</w:t>
      </w:r>
      <w:r>
        <w:rPr>
          <w:rFonts w:ascii="Times New Roman" w:hAnsi="Times New Roman"/>
          <w:sz w:val="24"/>
          <w:szCs w:val="24"/>
        </w:rPr>
        <w:t xml:space="preserve"> в соответствии с ЗКП</w:t>
      </w:r>
    </w:p>
    <w:p w:rsidR="00441301" w:rsidRDefault="00441301" w:rsidP="00441301">
      <w:pPr>
        <w:pStyle w:val="a7"/>
        <w:numPr>
          <w:ilvl w:val="0"/>
          <w:numId w:val="13"/>
        </w:numPr>
        <w:spacing w:after="0" w:line="240" w:lineRule="auto"/>
        <w:jc w:val="both"/>
        <w:rPr>
          <w:rFonts w:ascii="Times New Roman" w:hAnsi="Times New Roman"/>
          <w:sz w:val="24"/>
          <w:szCs w:val="24"/>
        </w:rPr>
      </w:pPr>
      <w:r>
        <w:rPr>
          <w:rFonts w:ascii="Times New Roman" w:eastAsia="Times New Roman" w:hAnsi="Times New Roman"/>
          <w:color w:val="2A2C2E"/>
          <w:sz w:val="24"/>
          <w:szCs w:val="24"/>
          <w:lang w:eastAsia="ru-RU"/>
        </w:rPr>
        <w:t>А</w:t>
      </w:r>
      <w:r w:rsidRPr="00C80217">
        <w:rPr>
          <w:rFonts w:ascii="Times New Roman" w:eastAsia="Times New Roman" w:hAnsi="Times New Roman"/>
          <w:color w:val="2A2C2E"/>
          <w:sz w:val="24"/>
          <w:szCs w:val="24"/>
          <w:lang w:eastAsia="ru-RU"/>
        </w:rPr>
        <w:t>ктуальн</w:t>
      </w:r>
      <w:r>
        <w:rPr>
          <w:rFonts w:ascii="Times New Roman" w:eastAsia="Times New Roman" w:hAnsi="Times New Roman"/>
          <w:color w:val="2A2C2E"/>
          <w:sz w:val="24"/>
          <w:szCs w:val="24"/>
          <w:lang w:eastAsia="ru-RU"/>
        </w:rPr>
        <w:t>ые</w:t>
      </w:r>
      <w:r w:rsidRPr="00C80217">
        <w:rPr>
          <w:rFonts w:ascii="Times New Roman" w:eastAsia="Times New Roman" w:hAnsi="Times New Roman"/>
          <w:color w:val="2A2C2E"/>
          <w:sz w:val="24"/>
          <w:szCs w:val="24"/>
          <w:lang w:eastAsia="ru-RU"/>
        </w:rPr>
        <w:t xml:space="preserve"> на момент запроса цен</w:t>
      </w:r>
      <w:r>
        <w:rPr>
          <w:rFonts w:ascii="Times New Roman" w:eastAsia="Times New Roman" w:hAnsi="Times New Roman"/>
          <w:color w:val="2A2C2E"/>
          <w:sz w:val="24"/>
          <w:szCs w:val="24"/>
          <w:lang w:eastAsia="ru-RU"/>
        </w:rPr>
        <w:t>ы</w:t>
      </w:r>
      <w:r w:rsidRPr="00C80217">
        <w:rPr>
          <w:rFonts w:ascii="Times New Roman" w:eastAsia="Times New Roman" w:hAnsi="Times New Roman"/>
          <w:color w:val="2A2C2E"/>
          <w:sz w:val="24"/>
          <w:szCs w:val="24"/>
          <w:lang w:eastAsia="ru-RU"/>
        </w:rPr>
        <w:t xml:space="preserve"> </w:t>
      </w:r>
      <w:r>
        <w:rPr>
          <w:rFonts w:ascii="Times New Roman" w:eastAsia="Times New Roman" w:hAnsi="Times New Roman"/>
          <w:color w:val="2A2C2E"/>
          <w:sz w:val="24"/>
          <w:szCs w:val="24"/>
          <w:lang w:eastAsia="ru-RU"/>
        </w:rPr>
        <w:t>товара (работ, услуг),</w:t>
      </w:r>
      <w:r w:rsidRPr="00067F54">
        <w:rPr>
          <w:rFonts w:ascii="Times New Roman" w:hAnsi="Times New Roman"/>
          <w:sz w:val="24"/>
          <w:szCs w:val="24"/>
        </w:rPr>
        <w:t xml:space="preserve"> </w:t>
      </w:r>
      <w:r>
        <w:rPr>
          <w:rFonts w:ascii="Times New Roman" w:hAnsi="Times New Roman"/>
          <w:sz w:val="24"/>
          <w:szCs w:val="24"/>
        </w:rPr>
        <w:t>т</w:t>
      </w:r>
      <w:r w:rsidRPr="009B73E8">
        <w:rPr>
          <w:rFonts w:ascii="Times New Roman" w:hAnsi="Times New Roman"/>
          <w:sz w:val="24"/>
          <w:szCs w:val="24"/>
        </w:rPr>
        <w:t>ех</w:t>
      </w:r>
      <w:r>
        <w:rPr>
          <w:rFonts w:ascii="Times New Roman" w:hAnsi="Times New Roman"/>
          <w:sz w:val="24"/>
          <w:szCs w:val="24"/>
        </w:rPr>
        <w:t>нические</w:t>
      </w:r>
      <w:r w:rsidRPr="009B73E8">
        <w:rPr>
          <w:rFonts w:ascii="Times New Roman" w:hAnsi="Times New Roman"/>
          <w:sz w:val="24"/>
          <w:szCs w:val="24"/>
        </w:rPr>
        <w:t xml:space="preserve"> характеристик</w:t>
      </w:r>
      <w:r>
        <w:rPr>
          <w:rFonts w:ascii="Times New Roman" w:hAnsi="Times New Roman"/>
          <w:sz w:val="24"/>
          <w:szCs w:val="24"/>
        </w:rPr>
        <w:t>и</w:t>
      </w:r>
      <w:r w:rsidRPr="009B73E8">
        <w:rPr>
          <w:rFonts w:ascii="Times New Roman" w:hAnsi="Times New Roman"/>
          <w:sz w:val="24"/>
          <w:szCs w:val="24"/>
        </w:rPr>
        <w:t xml:space="preserve"> и прочи</w:t>
      </w:r>
      <w:r>
        <w:rPr>
          <w:rFonts w:ascii="Times New Roman" w:hAnsi="Times New Roman"/>
          <w:sz w:val="24"/>
          <w:szCs w:val="24"/>
        </w:rPr>
        <w:t>е</w:t>
      </w:r>
      <w:r w:rsidRPr="009B73E8">
        <w:rPr>
          <w:rFonts w:ascii="Times New Roman" w:hAnsi="Times New Roman"/>
          <w:sz w:val="24"/>
          <w:szCs w:val="24"/>
        </w:rPr>
        <w:t xml:space="preserve"> данны</w:t>
      </w:r>
      <w:r>
        <w:rPr>
          <w:rFonts w:ascii="Times New Roman" w:hAnsi="Times New Roman"/>
          <w:sz w:val="24"/>
          <w:szCs w:val="24"/>
        </w:rPr>
        <w:t>е</w:t>
      </w:r>
      <w:r w:rsidRPr="009B73E8">
        <w:rPr>
          <w:rFonts w:ascii="Times New Roman" w:hAnsi="Times New Roman"/>
          <w:sz w:val="24"/>
          <w:szCs w:val="24"/>
        </w:rPr>
        <w:t xml:space="preserve">, в том числе условия поставки и оплаты, полностью </w:t>
      </w:r>
      <w:r>
        <w:rPr>
          <w:rFonts w:ascii="Times New Roman" w:hAnsi="Times New Roman"/>
          <w:sz w:val="24"/>
          <w:szCs w:val="24"/>
        </w:rPr>
        <w:t>соответствующие</w:t>
      </w:r>
      <w:r w:rsidRPr="009B73E8">
        <w:rPr>
          <w:rFonts w:ascii="Times New Roman" w:hAnsi="Times New Roman"/>
          <w:sz w:val="24"/>
          <w:szCs w:val="24"/>
        </w:rPr>
        <w:t xml:space="preserve"> </w:t>
      </w:r>
      <w:r>
        <w:rPr>
          <w:rFonts w:ascii="Times New Roman" w:hAnsi="Times New Roman"/>
          <w:sz w:val="24"/>
          <w:szCs w:val="24"/>
        </w:rPr>
        <w:t xml:space="preserve">указанным в </w:t>
      </w:r>
      <w:r w:rsidRPr="009B73E8">
        <w:rPr>
          <w:rFonts w:ascii="Times New Roman" w:hAnsi="Times New Roman"/>
          <w:sz w:val="24"/>
          <w:szCs w:val="24"/>
        </w:rPr>
        <w:t>ЗКП</w:t>
      </w:r>
      <w:r>
        <w:rPr>
          <w:rFonts w:ascii="Times New Roman" w:hAnsi="Times New Roman"/>
          <w:sz w:val="24"/>
          <w:szCs w:val="24"/>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u w:val="single"/>
        </w:rPr>
      </w:pPr>
      <w:r w:rsidRPr="00441301">
        <w:rPr>
          <w:rFonts w:ascii="Times New Roman" w:eastAsia="Times New Roman" w:hAnsi="Times New Roman"/>
          <w:color w:val="2A2C2E"/>
          <w:sz w:val="24"/>
          <w:szCs w:val="24"/>
          <w:u w:val="single"/>
          <w:lang w:eastAsia="ru-RU"/>
        </w:rPr>
        <w:t>КП оформляется на официальном бланке поставщика и должно включать в себя следующую информацию:</w:t>
      </w:r>
      <w:r w:rsidRPr="00441301">
        <w:rPr>
          <w:rFonts w:ascii="Times New Roman" w:hAnsi="Times New Roman"/>
          <w:sz w:val="24"/>
          <w:szCs w:val="24"/>
          <w:u w:val="single"/>
        </w:rPr>
        <w:t xml:space="preserve"> </w:t>
      </w:r>
    </w:p>
    <w:p w:rsidR="00441301" w:rsidRPr="007F5504" w:rsidRDefault="00441301" w:rsidP="00441301">
      <w:pPr>
        <w:numPr>
          <w:ilvl w:val="0"/>
          <w:numId w:val="14"/>
        </w:numPr>
        <w:spacing w:after="0" w:line="240" w:lineRule="auto"/>
        <w:ind w:left="709"/>
        <w:jc w:val="both"/>
        <w:rPr>
          <w:rFonts w:ascii="Times New Roman" w:hAnsi="Times New Roman"/>
          <w:sz w:val="24"/>
          <w:szCs w:val="24"/>
        </w:rPr>
      </w:pPr>
      <w:r>
        <w:rPr>
          <w:rFonts w:ascii="Times New Roman" w:hAnsi="Times New Roman"/>
          <w:sz w:val="24"/>
          <w:szCs w:val="24"/>
        </w:rPr>
        <w:t>И</w:t>
      </w:r>
      <w:r w:rsidRPr="007F5504">
        <w:rPr>
          <w:rFonts w:ascii="Times New Roman" w:hAnsi="Times New Roman"/>
          <w:sz w:val="24"/>
          <w:szCs w:val="24"/>
        </w:rPr>
        <w:t>дентификационный (регистрационный номер) и дату ЗКП;</w:t>
      </w:r>
    </w:p>
    <w:p w:rsidR="00441301" w:rsidRPr="007F5504" w:rsidRDefault="00441301" w:rsidP="00441301">
      <w:pPr>
        <w:numPr>
          <w:ilvl w:val="0"/>
          <w:numId w:val="14"/>
        </w:numPr>
        <w:spacing w:after="0" w:line="240" w:lineRule="auto"/>
        <w:ind w:left="709"/>
        <w:jc w:val="both"/>
        <w:rPr>
          <w:rFonts w:ascii="Times New Roman" w:eastAsia="Times New Roman" w:hAnsi="Times New Roman"/>
          <w:color w:val="2A2C2E"/>
          <w:sz w:val="24"/>
          <w:szCs w:val="24"/>
          <w:lang w:eastAsia="ru-RU"/>
        </w:rPr>
      </w:pPr>
      <w:r>
        <w:rPr>
          <w:rFonts w:ascii="Times New Roman" w:hAnsi="Times New Roman"/>
          <w:sz w:val="24"/>
          <w:szCs w:val="24"/>
        </w:rPr>
        <w:t>П</w:t>
      </w:r>
      <w:r w:rsidRPr="00C80217">
        <w:rPr>
          <w:rFonts w:ascii="Times New Roman" w:eastAsia="Times New Roman" w:hAnsi="Times New Roman"/>
          <w:color w:val="2A2C2E"/>
          <w:sz w:val="24"/>
          <w:szCs w:val="24"/>
          <w:lang w:eastAsia="ru-RU"/>
        </w:rPr>
        <w:t xml:space="preserve">олные реквизиты </w:t>
      </w:r>
      <w:r w:rsidRPr="007F5504">
        <w:rPr>
          <w:rFonts w:ascii="Times New Roman" w:eastAsia="Times New Roman" w:hAnsi="Times New Roman"/>
          <w:color w:val="2A2C2E"/>
          <w:sz w:val="24"/>
          <w:szCs w:val="24"/>
          <w:lang w:eastAsia="ru-RU"/>
        </w:rPr>
        <w:t>организации</w:t>
      </w:r>
      <w:r w:rsidRPr="00C80217">
        <w:rPr>
          <w:rFonts w:ascii="Times New Roman" w:eastAsia="Times New Roman" w:hAnsi="Times New Roman"/>
          <w:color w:val="2A2C2E"/>
          <w:sz w:val="24"/>
          <w:szCs w:val="24"/>
          <w:lang w:eastAsia="ru-RU"/>
        </w:rPr>
        <w:t>;</w:t>
      </w:r>
    </w:p>
    <w:p w:rsidR="00441301" w:rsidRPr="00441301" w:rsidRDefault="00441301" w:rsidP="00441301">
      <w:pPr>
        <w:pStyle w:val="a7"/>
        <w:numPr>
          <w:ilvl w:val="0"/>
          <w:numId w:val="15"/>
        </w:numPr>
        <w:spacing w:after="0" w:line="240" w:lineRule="auto"/>
        <w:ind w:left="142"/>
        <w:jc w:val="both"/>
        <w:rPr>
          <w:rFonts w:ascii="Times New Roman" w:hAnsi="Times New Roman"/>
          <w:sz w:val="24"/>
          <w:szCs w:val="24"/>
        </w:rPr>
      </w:pPr>
      <w:r w:rsidRPr="00441301">
        <w:rPr>
          <w:rFonts w:ascii="Times New Roman" w:hAnsi="Times New Roman"/>
          <w:sz w:val="24"/>
          <w:szCs w:val="24"/>
        </w:rPr>
        <w:t xml:space="preserve">КП </w:t>
      </w:r>
      <w:r w:rsidRPr="00441301">
        <w:rPr>
          <w:rFonts w:ascii="Times New Roman" w:eastAsia="Times New Roman" w:hAnsi="Times New Roman"/>
          <w:color w:val="2A2C2E"/>
          <w:sz w:val="24"/>
          <w:szCs w:val="24"/>
          <w:lang w:eastAsia="ru-RU"/>
        </w:rPr>
        <w:t>заверяется «живой» печатью и подписью руководителя организации или уполномоченного лица</w:t>
      </w:r>
      <w:r w:rsidRPr="00441301">
        <w:rPr>
          <w:rFonts w:ascii="Times New Roman" w:hAnsi="Times New Roman"/>
          <w:sz w:val="24"/>
          <w:szCs w:val="24"/>
        </w:rPr>
        <w:t>.</w:t>
      </w:r>
    </w:p>
    <w:p w:rsidR="00441301" w:rsidRDefault="00441301" w:rsidP="00204D4E">
      <w:pPr>
        <w:spacing w:after="0" w:line="240" w:lineRule="auto"/>
        <w:ind w:left="-567" w:firstLine="284"/>
        <w:jc w:val="both"/>
        <w:rPr>
          <w:rFonts w:ascii="Times New Roman" w:hAnsi="Times New Roman"/>
          <w:sz w:val="24"/>
          <w:szCs w:val="24"/>
        </w:rPr>
      </w:pPr>
    </w:p>
    <w:p w:rsidR="00441301" w:rsidRDefault="00441301" w:rsidP="00204D4E">
      <w:pPr>
        <w:spacing w:after="0" w:line="240" w:lineRule="auto"/>
        <w:ind w:left="-567" w:firstLine="284"/>
        <w:jc w:val="both"/>
        <w:rPr>
          <w:rFonts w:ascii="Times New Roman" w:hAnsi="Times New Roman"/>
          <w:sz w:val="24"/>
          <w:szCs w:val="24"/>
        </w:rPr>
      </w:pPr>
    </w:p>
    <w:p w:rsidR="00204D4E" w:rsidRPr="00441301" w:rsidRDefault="00204D4E" w:rsidP="00204D4E">
      <w:pPr>
        <w:spacing w:after="0" w:line="240" w:lineRule="auto"/>
        <w:ind w:left="-567" w:firstLine="284"/>
        <w:jc w:val="both"/>
        <w:rPr>
          <w:rFonts w:ascii="Times New Roman" w:hAnsi="Times New Roman"/>
          <w:i/>
          <w:sz w:val="24"/>
          <w:szCs w:val="24"/>
        </w:rPr>
      </w:pPr>
      <w:r w:rsidRPr="00441301">
        <w:rPr>
          <w:rFonts w:ascii="Times New Roman" w:hAnsi="Times New Roman"/>
          <w:i/>
          <w:sz w:val="24"/>
          <w:szCs w:val="24"/>
        </w:rPr>
        <w:t>Проведение данной процедуры сбора информации не влечет за собой возникновения каких-либо обязательств заказчика.</w:t>
      </w:r>
    </w:p>
    <w:p w:rsidR="00441301" w:rsidRDefault="00204D4E" w:rsidP="00204D4E">
      <w:pPr>
        <w:ind w:left="-567" w:firstLine="284"/>
        <w:rPr>
          <w:rFonts w:ascii="Times New Roman" w:hAnsi="Times New Roman"/>
          <w:sz w:val="24"/>
          <w:szCs w:val="24"/>
          <w:lang w:eastAsia="ru-RU"/>
        </w:rPr>
      </w:pPr>
      <w:r w:rsidRPr="00441301">
        <w:rPr>
          <w:rFonts w:ascii="Times New Roman" w:hAnsi="Times New Roman"/>
          <w:i/>
          <w:sz w:val="24"/>
          <w:szCs w:val="24"/>
          <w:lang w:eastAsia="ru-RU"/>
        </w:rPr>
        <w:t>Из коммерческого предложения должн</w:t>
      </w:r>
      <w:r w:rsidR="00441301" w:rsidRPr="00441301">
        <w:rPr>
          <w:rFonts w:ascii="Times New Roman" w:hAnsi="Times New Roman"/>
          <w:i/>
          <w:sz w:val="24"/>
          <w:szCs w:val="24"/>
          <w:lang w:eastAsia="ru-RU"/>
        </w:rPr>
        <w:t>а</w:t>
      </w:r>
      <w:r w:rsidRPr="00441301">
        <w:rPr>
          <w:rFonts w:ascii="Times New Roman" w:hAnsi="Times New Roman"/>
          <w:i/>
          <w:sz w:val="24"/>
          <w:szCs w:val="24"/>
          <w:lang w:eastAsia="ru-RU"/>
        </w:rPr>
        <w:t xml:space="preserve"> однозначно определяться предлагаемая цена единицы товара, работы, услуги и общая цена контракта, с учетом налогов, на условиях, указанных в запросе, а также срок действия </w:t>
      </w:r>
      <w:r w:rsidR="00441301" w:rsidRPr="00441301">
        <w:rPr>
          <w:rFonts w:ascii="Times New Roman" w:hAnsi="Times New Roman"/>
          <w:i/>
          <w:sz w:val="24"/>
          <w:szCs w:val="24"/>
          <w:lang w:eastAsia="ru-RU"/>
        </w:rPr>
        <w:t>предложения.</w:t>
      </w:r>
      <w:r w:rsidR="00441301">
        <w:rPr>
          <w:rFonts w:ascii="Times New Roman" w:hAnsi="Times New Roman"/>
          <w:sz w:val="24"/>
          <w:szCs w:val="24"/>
          <w:lang w:eastAsia="ru-RU"/>
        </w:rPr>
        <w:t xml:space="preserve"> </w:t>
      </w:r>
    </w:p>
    <w:sectPr w:rsidR="00441301" w:rsidSect="003B0BCD">
      <w:footerReference w:type="default" r:id="rId9"/>
      <w:headerReference w:type="first" r:id="rId10"/>
      <w:footerReference w:type="first" r:id="rId11"/>
      <w:pgSz w:w="11906" w:h="16838"/>
      <w:pgMar w:top="1134" w:right="850" w:bottom="567"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665" w:rsidRDefault="000A5665">
      <w:pPr>
        <w:spacing w:after="0" w:line="240" w:lineRule="auto"/>
      </w:pPr>
      <w:r>
        <w:separator/>
      </w:r>
    </w:p>
  </w:endnote>
  <w:endnote w:type="continuationSeparator" w:id="0">
    <w:p w:rsidR="000A5665" w:rsidRDefault="000A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F52E6A">
    <w:pPr>
      <w:pStyle w:val="ab"/>
      <w:jc w:val="right"/>
    </w:pPr>
  </w:p>
  <w:sdt>
    <w:sdtPr>
      <w:id w:val="-841703104"/>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E85561">
          <w:rPr>
            <w:noProof/>
          </w:rPr>
          <w:t>3</w:t>
        </w:r>
        <w:r>
          <w:fldChar w:fldCharType="end"/>
        </w:r>
      </w:p>
    </w:sdtContent>
  </w:sdt>
  <w:p w:rsidR="00F52E6A" w:rsidRDefault="00F52E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0A5665">
    <w:pPr>
      <w:pStyle w:val="ab"/>
      <w:jc w:val="right"/>
    </w:pPr>
    <w:sdt>
      <w:sdtPr>
        <w:id w:val="-1851333708"/>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E85561">
          <w:rPr>
            <w:noProof/>
          </w:rPr>
          <w:t>1</w:t>
        </w:r>
        <w:r w:rsidR="00F52E6A">
          <w:fldChar w:fldCharType="end"/>
        </w:r>
      </w:sdtContent>
    </w:sdt>
  </w:p>
  <w:p w:rsidR="00F52E6A" w:rsidRDefault="00F52E6A"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665" w:rsidRDefault="000A5665">
      <w:pPr>
        <w:spacing w:after="0" w:line="240" w:lineRule="auto"/>
      </w:pPr>
      <w:r>
        <w:separator/>
      </w:r>
    </w:p>
  </w:footnote>
  <w:footnote w:type="continuationSeparator" w:id="0">
    <w:p w:rsidR="000A5665" w:rsidRDefault="000A5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6A" w:rsidRDefault="00F52E6A">
    <w:pPr>
      <w:pStyle w:val="a4"/>
    </w:pPr>
    <w:r>
      <w:rPr>
        <w:noProof/>
        <w:lang w:eastAsia="ru-RU"/>
      </w:rPr>
      <w:drawing>
        <wp:inline distT="0" distB="0" distL="0" distR="0" wp14:anchorId="468ACA82" wp14:editId="5587B843">
          <wp:extent cx="5940425" cy="890236"/>
          <wp:effectExtent l="0" t="0" r="3175" b="5715"/>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8902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3"/>
  </w:num>
  <w:num w:numId="5">
    <w:abstractNumId w:val="11"/>
  </w:num>
  <w:num w:numId="6">
    <w:abstractNumId w:val="8"/>
  </w:num>
  <w:num w:numId="7">
    <w:abstractNumId w:val="2"/>
  </w:num>
  <w:num w:numId="8">
    <w:abstractNumId w:val="13"/>
  </w:num>
  <w:num w:numId="9">
    <w:abstractNumId w:val="1"/>
  </w:num>
  <w:num w:numId="10">
    <w:abstractNumId w:val="12"/>
  </w:num>
  <w:num w:numId="11">
    <w:abstractNumId w:val="15"/>
  </w:num>
  <w:num w:numId="12">
    <w:abstractNumId w:val="7"/>
  </w:num>
  <w:num w:numId="13">
    <w:abstractNumId w:val="4"/>
  </w:num>
  <w:num w:numId="14">
    <w:abstractNumId w:val="6"/>
  </w:num>
  <w:num w:numId="15">
    <w:abstractNumId w:val="14"/>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12C"/>
    <w:rsid w:val="000124A6"/>
    <w:rsid w:val="00026C1F"/>
    <w:rsid w:val="00031AFA"/>
    <w:rsid w:val="0004504D"/>
    <w:rsid w:val="00076D17"/>
    <w:rsid w:val="00087E95"/>
    <w:rsid w:val="0009727D"/>
    <w:rsid w:val="000A5665"/>
    <w:rsid w:val="000A5E67"/>
    <w:rsid w:val="000B086C"/>
    <w:rsid w:val="000B76AB"/>
    <w:rsid w:val="000C04D6"/>
    <w:rsid w:val="000C181F"/>
    <w:rsid w:val="000D60FE"/>
    <w:rsid w:val="000E78CD"/>
    <w:rsid w:val="000F411A"/>
    <w:rsid w:val="00104CC6"/>
    <w:rsid w:val="001070B3"/>
    <w:rsid w:val="00111C41"/>
    <w:rsid w:val="0011217D"/>
    <w:rsid w:val="001233FC"/>
    <w:rsid w:val="001450A2"/>
    <w:rsid w:val="00145A39"/>
    <w:rsid w:val="0015409D"/>
    <w:rsid w:val="001570CF"/>
    <w:rsid w:val="0016689A"/>
    <w:rsid w:val="00182395"/>
    <w:rsid w:val="0019152C"/>
    <w:rsid w:val="00192794"/>
    <w:rsid w:val="00195CA6"/>
    <w:rsid w:val="001974E0"/>
    <w:rsid w:val="001C3568"/>
    <w:rsid w:val="001D721D"/>
    <w:rsid w:val="001E2F36"/>
    <w:rsid w:val="001F575C"/>
    <w:rsid w:val="00204D4E"/>
    <w:rsid w:val="0021224E"/>
    <w:rsid w:val="002163C8"/>
    <w:rsid w:val="00221C8B"/>
    <w:rsid w:val="002329D0"/>
    <w:rsid w:val="002420F4"/>
    <w:rsid w:val="00247862"/>
    <w:rsid w:val="00251D64"/>
    <w:rsid w:val="00251F9B"/>
    <w:rsid w:val="00255BA3"/>
    <w:rsid w:val="00262242"/>
    <w:rsid w:val="00262941"/>
    <w:rsid w:val="002824B6"/>
    <w:rsid w:val="002A1986"/>
    <w:rsid w:val="002A657B"/>
    <w:rsid w:val="002B12E3"/>
    <w:rsid w:val="002C1C8E"/>
    <w:rsid w:val="002C2CE3"/>
    <w:rsid w:val="002C473B"/>
    <w:rsid w:val="002E6D4A"/>
    <w:rsid w:val="002F1377"/>
    <w:rsid w:val="002F2BED"/>
    <w:rsid w:val="002F4BC9"/>
    <w:rsid w:val="002F5BC1"/>
    <w:rsid w:val="002F6D7C"/>
    <w:rsid w:val="0031098C"/>
    <w:rsid w:val="00324FCD"/>
    <w:rsid w:val="00341AFA"/>
    <w:rsid w:val="00343ED9"/>
    <w:rsid w:val="00344402"/>
    <w:rsid w:val="00347F84"/>
    <w:rsid w:val="00367146"/>
    <w:rsid w:val="0037099D"/>
    <w:rsid w:val="003747A7"/>
    <w:rsid w:val="00381F8E"/>
    <w:rsid w:val="00391C92"/>
    <w:rsid w:val="0039429B"/>
    <w:rsid w:val="003A2218"/>
    <w:rsid w:val="003A2348"/>
    <w:rsid w:val="003A2BFE"/>
    <w:rsid w:val="003B0BCD"/>
    <w:rsid w:val="003B56D0"/>
    <w:rsid w:val="003B57CB"/>
    <w:rsid w:val="003D4C65"/>
    <w:rsid w:val="003E0EB5"/>
    <w:rsid w:val="003E60F6"/>
    <w:rsid w:val="003F0AA1"/>
    <w:rsid w:val="00406050"/>
    <w:rsid w:val="004115D1"/>
    <w:rsid w:val="0041280E"/>
    <w:rsid w:val="00420C6C"/>
    <w:rsid w:val="00421825"/>
    <w:rsid w:val="0043583F"/>
    <w:rsid w:val="00441301"/>
    <w:rsid w:val="00450FFE"/>
    <w:rsid w:val="004536CC"/>
    <w:rsid w:val="00461AE7"/>
    <w:rsid w:val="004A030B"/>
    <w:rsid w:val="004B7816"/>
    <w:rsid w:val="004C1F26"/>
    <w:rsid w:val="004C5F4A"/>
    <w:rsid w:val="004D0F2E"/>
    <w:rsid w:val="004D10CD"/>
    <w:rsid w:val="004D7859"/>
    <w:rsid w:val="004E0B85"/>
    <w:rsid w:val="004F06D8"/>
    <w:rsid w:val="005015AB"/>
    <w:rsid w:val="0051016A"/>
    <w:rsid w:val="00513490"/>
    <w:rsid w:val="005223C1"/>
    <w:rsid w:val="005246FD"/>
    <w:rsid w:val="00541586"/>
    <w:rsid w:val="0057245F"/>
    <w:rsid w:val="005751BF"/>
    <w:rsid w:val="00577D46"/>
    <w:rsid w:val="00582162"/>
    <w:rsid w:val="00585F05"/>
    <w:rsid w:val="00592AB6"/>
    <w:rsid w:val="00593990"/>
    <w:rsid w:val="005A566A"/>
    <w:rsid w:val="005B1AF4"/>
    <w:rsid w:val="005F148F"/>
    <w:rsid w:val="005F153F"/>
    <w:rsid w:val="006060E3"/>
    <w:rsid w:val="00623487"/>
    <w:rsid w:val="006420B2"/>
    <w:rsid w:val="00642D06"/>
    <w:rsid w:val="006474B5"/>
    <w:rsid w:val="00650AB9"/>
    <w:rsid w:val="00680267"/>
    <w:rsid w:val="00680B51"/>
    <w:rsid w:val="00692F2A"/>
    <w:rsid w:val="006A631C"/>
    <w:rsid w:val="006B558D"/>
    <w:rsid w:val="006C4866"/>
    <w:rsid w:val="006C6485"/>
    <w:rsid w:val="006D7DAD"/>
    <w:rsid w:val="006E055D"/>
    <w:rsid w:val="006E3956"/>
    <w:rsid w:val="006E4D75"/>
    <w:rsid w:val="006F556E"/>
    <w:rsid w:val="0071128E"/>
    <w:rsid w:val="00735AB0"/>
    <w:rsid w:val="0074516E"/>
    <w:rsid w:val="00756147"/>
    <w:rsid w:val="0076046A"/>
    <w:rsid w:val="00770DBE"/>
    <w:rsid w:val="00781335"/>
    <w:rsid w:val="007922BC"/>
    <w:rsid w:val="007B5155"/>
    <w:rsid w:val="007B631D"/>
    <w:rsid w:val="007B64E3"/>
    <w:rsid w:val="007C20A6"/>
    <w:rsid w:val="007C4CF9"/>
    <w:rsid w:val="007D2EFB"/>
    <w:rsid w:val="007E016E"/>
    <w:rsid w:val="007E29E9"/>
    <w:rsid w:val="007F15A5"/>
    <w:rsid w:val="007F5A18"/>
    <w:rsid w:val="008066C1"/>
    <w:rsid w:val="00807CF5"/>
    <w:rsid w:val="00817D95"/>
    <w:rsid w:val="00822F37"/>
    <w:rsid w:val="008252D7"/>
    <w:rsid w:val="00832975"/>
    <w:rsid w:val="008404B2"/>
    <w:rsid w:val="00861E58"/>
    <w:rsid w:val="0086317D"/>
    <w:rsid w:val="008638F3"/>
    <w:rsid w:val="00883DC5"/>
    <w:rsid w:val="00893080"/>
    <w:rsid w:val="00894C5B"/>
    <w:rsid w:val="008A77E7"/>
    <w:rsid w:val="008B4F55"/>
    <w:rsid w:val="008B64C5"/>
    <w:rsid w:val="008C7CC3"/>
    <w:rsid w:val="008F3B0B"/>
    <w:rsid w:val="008F4DD1"/>
    <w:rsid w:val="0091306B"/>
    <w:rsid w:val="00924D15"/>
    <w:rsid w:val="00964006"/>
    <w:rsid w:val="00964265"/>
    <w:rsid w:val="00971FDB"/>
    <w:rsid w:val="009840D8"/>
    <w:rsid w:val="00991266"/>
    <w:rsid w:val="009938B0"/>
    <w:rsid w:val="009A2C92"/>
    <w:rsid w:val="009C1712"/>
    <w:rsid w:val="009C3A84"/>
    <w:rsid w:val="009D1527"/>
    <w:rsid w:val="009E0E6A"/>
    <w:rsid w:val="009E14D4"/>
    <w:rsid w:val="009E1ED9"/>
    <w:rsid w:val="009F1E95"/>
    <w:rsid w:val="009F28DD"/>
    <w:rsid w:val="009F387B"/>
    <w:rsid w:val="00A072C2"/>
    <w:rsid w:val="00A20761"/>
    <w:rsid w:val="00A37A47"/>
    <w:rsid w:val="00A406BB"/>
    <w:rsid w:val="00A423B2"/>
    <w:rsid w:val="00A475D6"/>
    <w:rsid w:val="00A51E47"/>
    <w:rsid w:val="00A5338E"/>
    <w:rsid w:val="00A56B78"/>
    <w:rsid w:val="00A641E2"/>
    <w:rsid w:val="00A76CEF"/>
    <w:rsid w:val="00A82B8F"/>
    <w:rsid w:val="00A8777F"/>
    <w:rsid w:val="00A91698"/>
    <w:rsid w:val="00A94C5C"/>
    <w:rsid w:val="00AE1B0F"/>
    <w:rsid w:val="00AF03B1"/>
    <w:rsid w:val="00AF7E0D"/>
    <w:rsid w:val="00B01F48"/>
    <w:rsid w:val="00B0383F"/>
    <w:rsid w:val="00B24019"/>
    <w:rsid w:val="00B33706"/>
    <w:rsid w:val="00B61169"/>
    <w:rsid w:val="00B664DC"/>
    <w:rsid w:val="00B666D7"/>
    <w:rsid w:val="00B66D35"/>
    <w:rsid w:val="00B67E6D"/>
    <w:rsid w:val="00B77DAE"/>
    <w:rsid w:val="00B8743B"/>
    <w:rsid w:val="00BA2317"/>
    <w:rsid w:val="00BA5FF8"/>
    <w:rsid w:val="00BE3F70"/>
    <w:rsid w:val="00BF2771"/>
    <w:rsid w:val="00C134B9"/>
    <w:rsid w:val="00C22E6F"/>
    <w:rsid w:val="00C505E8"/>
    <w:rsid w:val="00C56C90"/>
    <w:rsid w:val="00C645BD"/>
    <w:rsid w:val="00C753E1"/>
    <w:rsid w:val="00C9583B"/>
    <w:rsid w:val="00CC4773"/>
    <w:rsid w:val="00CC5C9F"/>
    <w:rsid w:val="00CD1DB9"/>
    <w:rsid w:val="00CD1E24"/>
    <w:rsid w:val="00CD3089"/>
    <w:rsid w:val="00CF19F4"/>
    <w:rsid w:val="00D04875"/>
    <w:rsid w:val="00D17764"/>
    <w:rsid w:val="00D3148D"/>
    <w:rsid w:val="00D31887"/>
    <w:rsid w:val="00D3448D"/>
    <w:rsid w:val="00D4075D"/>
    <w:rsid w:val="00D75216"/>
    <w:rsid w:val="00D811F2"/>
    <w:rsid w:val="00D93803"/>
    <w:rsid w:val="00D9443F"/>
    <w:rsid w:val="00DB5EE8"/>
    <w:rsid w:val="00DD301F"/>
    <w:rsid w:val="00DD6DFD"/>
    <w:rsid w:val="00E02EB4"/>
    <w:rsid w:val="00E05BC1"/>
    <w:rsid w:val="00E06D2F"/>
    <w:rsid w:val="00E23D7F"/>
    <w:rsid w:val="00E6750C"/>
    <w:rsid w:val="00E70CD9"/>
    <w:rsid w:val="00E85561"/>
    <w:rsid w:val="00E961F8"/>
    <w:rsid w:val="00EA5244"/>
    <w:rsid w:val="00ED2F34"/>
    <w:rsid w:val="00EE2E62"/>
    <w:rsid w:val="00EE4AA9"/>
    <w:rsid w:val="00EF093D"/>
    <w:rsid w:val="00F21A00"/>
    <w:rsid w:val="00F27547"/>
    <w:rsid w:val="00F2794C"/>
    <w:rsid w:val="00F374E2"/>
    <w:rsid w:val="00F43A9A"/>
    <w:rsid w:val="00F52E6A"/>
    <w:rsid w:val="00F709FA"/>
    <w:rsid w:val="00F72D5A"/>
    <w:rsid w:val="00F92171"/>
    <w:rsid w:val="00FB1AB7"/>
    <w:rsid w:val="00FB2DB1"/>
    <w:rsid w:val="00FB3393"/>
    <w:rsid w:val="00FC6343"/>
    <w:rsid w:val="00FC6CB1"/>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83604979">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505285085">
      <w:bodyDiv w:val="1"/>
      <w:marLeft w:val="0"/>
      <w:marRight w:val="0"/>
      <w:marTop w:val="0"/>
      <w:marBottom w:val="0"/>
      <w:divBdr>
        <w:top w:val="none" w:sz="0" w:space="0" w:color="auto"/>
        <w:left w:val="none" w:sz="0" w:space="0" w:color="auto"/>
        <w:bottom w:val="none" w:sz="0" w:space="0" w:color="auto"/>
        <w:right w:val="none" w:sz="0" w:space="0" w:color="auto"/>
      </w:divBdr>
    </w:div>
    <w:div w:id="680400689">
      <w:bodyDiv w:val="1"/>
      <w:marLeft w:val="0"/>
      <w:marRight w:val="0"/>
      <w:marTop w:val="0"/>
      <w:marBottom w:val="0"/>
      <w:divBdr>
        <w:top w:val="none" w:sz="0" w:space="0" w:color="auto"/>
        <w:left w:val="none" w:sz="0" w:space="0" w:color="auto"/>
        <w:bottom w:val="none" w:sz="0" w:space="0" w:color="auto"/>
        <w:right w:val="none" w:sz="0" w:space="0" w:color="auto"/>
      </w:divBdr>
    </w:div>
    <w:div w:id="936672784">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37316225">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2920040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446576927">
      <w:bodyDiv w:val="1"/>
      <w:marLeft w:val="0"/>
      <w:marRight w:val="0"/>
      <w:marTop w:val="0"/>
      <w:marBottom w:val="0"/>
      <w:divBdr>
        <w:top w:val="none" w:sz="0" w:space="0" w:color="auto"/>
        <w:left w:val="none" w:sz="0" w:space="0" w:color="auto"/>
        <w:bottom w:val="none" w:sz="0" w:space="0" w:color="auto"/>
        <w:right w:val="none" w:sz="0" w:space="0" w:color="auto"/>
      </w:divBdr>
    </w:div>
    <w:div w:id="1525434549">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047438134">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2139-CAB2-4E01-8C68-BF262DC1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Алла Юрьевна Маслова</cp:lastModifiedBy>
  <cp:revision>8</cp:revision>
  <cp:lastPrinted>2018-01-19T15:25:00Z</cp:lastPrinted>
  <dcterms:created xsi:type="dcterms:W3CDTF">2019-02-06T07:28:00Z</dcterms:created>
  <dcterms:modified xsi:type="dcterms:W3CDTF">2019-02-08T07:34:00Z</dcterms:modified>
</cp:coreProperties>
</file>