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28.01.2022 № 05-07/52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160A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26"/>
        <w:gridCol w:w="897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дезинфицирующих средств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09.09.2022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5 (пяти) рабочих дней после поступления письменной заявки от Покупателя. Последняя дата подачи заявки на поставку 02.09.2022. Максимальное количество партий - 10 (десять).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Оплата производится в соответствии со сроками, установленными согласно части 13.1 статьи 34 Федерального закона от 05.04.2013г. № 44-ФЗ
                <w:b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Свидетельство о государственной регистрации (ДЕЗСРЕДСТВА)</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техническом задании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30.04.2020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942"/>
        <w:gridCol w:w="5769"/>
        <w:gridCol w:w="748"/>
        <w:gridCol w:w="899"/>
        <w:gridCol w:w="1497"/>
        <w:gridCol w:w="1198"/>
        <w:gridCol w:w="749"/>
        <w:gridCol w:w="1001"/>
        <w:gridCol w:w="1499"/>
      </w:tblGrid>
      <w:tr w:rsidR="00310A04" w:rsidRPr="00820709" w:rsidTr="00310A04">
        <w:trPr>
          <w:trHeight w:val="20"/>
          <w:jc w:val="center"/>
        </w:trPr>
        <w:tc>
          <w:tcPr>
            <w:tcW w:w="628" w:type="dxa"/>
            <w:vAlign w:val="center"/>
            <w:hideMark/>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 п/п</w:t>
            </w:r>
          </w:p>
        </w:tc>
        <w:tc>
          <w:tcPr>
            <w:tcW w:w="1942" w:type="dxa"/>
            <w:vAlign w:val="center"/>
            <w:hideMark/>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 xml:space="preserve">Наименование товара </w:t>
            </w:r>
          </w:p>
        </w:tc>
        <w:tc>
          <w:tcPr>
            <w:tcW w:w="5769" w:type="dxa"/>
            <w:vAlign w:val="center"/>
            <w:hideMark/>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Требования к качеству, техническим и функциональным характеристикам товара</w:t>
            </w:r>
          </w:p>
        </w:tc>
        <w:tc>
          <w:tcPr>
            <w:tcW w:w="748" w:type="dxa"/>
            <w:vAlign w:val="center"/>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Кол-во</w:t>
            </w:r>
          </w:p>
        </w:tc>
        <w:tc>
          <w:tcPr>
            <w:tcW w:w="899" w:type="dxa"/>
            <w:vAlign w:val="center"/>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Ед. изм.</w:t>
            </w:r>
          </w:p>
        </w:tc>
        <w:tc>
          <w:tcPr>
            <w:tcW w:w="1497" w:type="dxa"/>
            <w:vAlign w:val="center"/>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ОКПД2/ КТРУ</w:t>
            </w:r>
          </w:p>
        </w:tc>
        <w:tc>
          <w:tcPr>
            <w:tcW w:w="1198" w:type="dxa"/>
            <w:shd w:val="clear" w:color="auto" w:fill="FFFFCC"/>
            <w:vAlign w:val="center"/>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Страна происхождения</w:t>
            </w:r>
          </w:p>
        </w:tc>
        <w:tc>
          <w:tcPr>
            <w:tcW w:w="749" w:type="dxa"/>
            <w:shd w:val="clear" w:color="auto" w:fill="FFFFCC"/>
            <w:vAlign w:val="center"/>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НДС %</w:t>
            </w:r>
          </w:p>
        </w:tc>
        <w:tc>
          <w:tcPr>
            <w:tcW w:w="1001" w:type="dxa"/>
            <w:shd w:val="clear" w:color="auto" w:fill="FFFFCC"/>
            <w:vAlign w:val="center"/>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Цена за ед. с НДС (руб.)</w:t>
            </w:r>
          </w:p>
        </w:tc>
        <w:tc>
          <w:tcPr>
            <w:tcW w:w="1499" w:type="dxa"/>
            <w:shd w:val="clear" w:color="auto" w:fill="FFFFCC"/>
            <w:vAlign w:val="center"/>
          </w:tcPr>
          <w:p w:rsidR="00820709" w:rsidRPr="00820709" w:rsidRDefault="00820709" w:rsidP="00820709">
            <w:pPr>
              <w:spacing w:after="0" w:line="240" w:lineRule="auto"/>
              <w:jc w:val="center"/>
              <w:rPr>
                <w:rFonts w:ascii="Times New Roman" w:hAnsi="Times New Roman" w:cs="Times New Roman"/>
                <w:b/>
                <w:sz w:val="24"/>
                <w:szCs w:val="24"/>
                <w:lang w:eastAsia="ru-RU"/>
              </w:rPr>
            </w:pPr>
            <w:r w:rsidRPr="00820709">
              <w:rPr>
                <w:rFonts w:ascii="Times New Roman" w:hAnsi="Times New Roman" w:cs="Times New Roman"/>
                <w:b/>
                <w:sz w:val="24"/>
                <w:szCs w:val="24"/>
                <w:lang w:eastAsia="ru-RU"/>
              </w:rPr>
              <w:t>Сумма с НДС (руб.)</w:t>
            </w:r>
          </w:p>
        </w:tc>
      </w:tr>
      <w:tr w:rsidR="00310A04" w:rsidRPr="00820709" w:rsidTr="00310A04">
        <w:trPr>
          <w:trHeight w:val="20"/>
          <w:jc w:val="center"/>
        </w:trPr>
        <w:tc>
          <w:tcPr>
            <w:tcW w:w="628" w:type="dxa"/>
          </w:tcPr>
          <w:p w:rsidR="00820709" w:rsidRPr="00820709" w:rsidRDefault="00820709" w:rsidP="00820709">
            <w:pPr>
              <w:numPr>
                <w:ilvl w:val="0"/>
                <w:numId w:val="20"/>
              </w:numPr>
              <w:spacing w:after="0" w:line="240" w:lineRule="auto"/>
              <w:ind w:left="139" w:hanging="283"/>
              <w:contextualSpacing/>
              <w:jc w:val="center"/>
              <w:rPr>
                <w:rFonts w:ascii="Times New Roman" w:hAnsi="Times New Roman" w:cs="Times New Roman"/>
                <w:sz w:val="24"/>
                <w:szCs w:val="24"/>
                <w:lang w:eastAsia="ru-RU"/>
              </w:rPr>
            </w:pPr>
          </w:p>
        </w:tc>
        <w:tc>
          <w:tcPr>
            <w:tcW w:w="1942" w:type="dxa"/>
          </w:tcPr>
          <w:p w:rsidR="00820709" w:rsidRPr="00820709" w:rsidRDefault="00820709" w:rsidP="00820709">
            <w:pPr>
              <w:spacing w:after="0"/>
              <w:rPr>
                <w:rFonts w:ascii="Times New Roman" w:hAnsi="Times New Roman" w:cs="Times New Roman"/>
                <w:sz w:val="24"/>
                <w:szCs w:val="24"/>
              </w:rPr>
            </w:pPr>
            <w:r w:rsidRPr="00820709">
              <w:rPr>
                <w:rFonts w:ascii="Times New Roman" w:hAnsi="Times New Roman" w:cs="Times New Roman"/>
                <w:sz w:val="24"/>
                <w:szCs w:val="24"/>
              </w:rPr>
              <w:t>Средство дезинфицирующее</w:t>
            </w:r>
          </w:p>
        </w:tc>
        <w:tc>
          <w:tcPr>
            <w:tcW w:w="5769" w:type="dxa"/>
          </w:tcPr>
          <w:p w:rsidR="00820709" w:rsidRPr="00820709" w:rsidRDefault="00820709" w:rsidP="00820709">
            <w:pPr>
              <w:shd w:val="clear" w:color="auto" w:fill="FFFFFF"/>
              <w:spacing w:after="0" w:line="240" w:lineRule="auto"/>
              <w:contextualSpacing/>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Форма выпуска таблетка.</w:t>
            </w:r>
          </w:p>
          <w:p w:rsidR="00820709" w:rsidRPr="00820709" w:rsidRDefault="00820709" w:rsidP="00820709">
            <w:pPr>
              <w:shd w:val="clear" w:color="auto" w:fill="FFFFFF"/>
              <w:spacing w:after="0" w:line="240" w:lineRule="auto"/>
              <w:contextualSpacing/>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xml:space="preserve">Дополнительные характеристики:* </w:t>
            </w:r>
          </w:p>
          <w:p w:rsidR="00820709" w:rsidRPr="00820709" w:rsidRDefault="00820709" w:rsidP="00820709">
            <w:pPr>
              <w:shd w:val="clear" w:color="auto" w:fill="FFFFFF"/>
              <w:spacing w:after="0" w:line="240" w:lineRule="auto"/>
              <w:contextualSpacing/>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Дезинфицирующее средство с моющим эффектом, содержащее в своем составе в качестве действующего вещества натриевую соль дихлоризоциануровой кислоты, а также функциональные компоненты, способствующие лучшему растворению средства и ПАВ. При растворении 1 таблетки должно выделяться не менее 1,5 г активного хлора.</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Средство должно быть предназначено для:</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-дезинфекции поверхностей в помещениях при проведении генеральных уборок, заключительной дезинфекции;</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дезинфекции изделий медицинского назначения из коррозионно-стойких металлов, резин, пластмасс, стекла;</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дезинфекции медицинских отходов, изделий медицинского назначения однократного применения, перевязочного материала, одноразового постельного и нательного белья, одежды персонала перед их утилизацией;</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дезинфекции биологических жидкостей и выделений (крови, мочи, мокроты, фекалий, фекально-мочевой взвеси, рвотных масс, ликвора, смывных жидкостей (эндоскопических, после ополаскивания зева и других), сывороток, анатоксинов, иммунобиологических препаратов, живых вакцин, непригодных к использованию, пищевых отходов, емкостей из-под выделений;</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обеззараживания поверхностей, пораженных плесневыми грибами;</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дезинфекции объектов, потенциально опасных в отношении распространения легионеллезной инфекции;</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дезинфекции объектов, контаминированных ДНК/РНК-ампликонами в ПЦР-лабораториях;</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обеззараживания (дезинвазии) почвы, помещений, оборудования при контаминации возбудителями паразитарных болезней (цистами и ооцистами простейших, яйцами и личинками гельминтов, остриций);</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дезинфекции скорлупы пищевых яиц;</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дезинфекции емкостей для хранения воды.</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Средство должно обладать антимикробным действием в отношении бактерий (включая микобактерии туберкулеза – тестировано на M.terrae, возбудителей легионеллеза, внутрибольничных, анаэробных инфекций, особо опасных инфекций - чумы, холеры, туляремии, сибирской язвы), вирусов (включая вирус  полиомиелита, энтеральных и парентеральных гепатитов, ВИЧ и др.), грибов рода Кандида, Трихофитон, плесневых грибов, спор бактерий.</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Средство должно иметь следующий расход - для приготовления 10 л рабочего раствора требуется:</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не более 0,5 таблетки для дезинфекции поверхностей при бактериальных инфекциях при экспозиции не более 30 мин;</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не более 0,5 таблетки для дезинфекции поверхностей при вирусных инфекциях при экспозиции не более 60 мин;</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не более 4 таблетки для дезинфекции поверхностей при туберкулезе при экспозиции не более 30 мин.</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 не более 2 таблеток для дезинфекции поверхностей при особо опасных инфекциях (чума, холера, туляремия) при экспозиции не более 60 мин.</w:t>
            </w:r>
          </w:p>
          <w:p w:rsidR="00820709" w:rsidRPr="00820709" w:rsidRDefault="00820709" w:rsidP="00820709">
            <w:pPr>
              <w:shd w:val="clear" w:color="auto" w:fill="FFFFFF"/>
              <w:spacing w:after="0" w:line="240" w:lineRule="auto"/>
              <w:rPr>
                <w:rFonts w:ascii="Times New Roman" w:eastAsia="Times New Roman" w:hAnsi="Times New Roman" w:cs="Times New Roman"/>
                <w:sz w:val="24"/>
                <w:szCs w:val="24"/>
                <w:lang w:eastAsia="ru-RU"/>
              </w:rPr>
            </w:pPr>
            <w:r w:rsidRPr="00820709">
              <w:rPr>
                <w:rFonts w:ascii="Times New Roman" w:eastAsia="Times New Roman" w:hAnsi="Times New Roman" w:cs="Times New Roman"/>
                <w:sz w:val="24"/>
                <w:szCs w:val="24"/>
                <w:lang w:eastAsia="ru-RU"/>
              </w:rPr>
              <w:t>Средство должно поставляться весом не менее 1 кг в полимерных емкостях. Срок годности средства  в невскрытой упаковке производителя не менее 5 лет. Срок годности рабочих растворов средства должен быть не менее 20 суток.</w:t>
            </w:r>
          </w:p>
        </w:tc>
        <w:tc>
          <w:tcPr>
            <w:tcW w:w="748"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332</w:t>
            </w:r>
          </w:p>
        </w:tc>
        <w:tc>
          <w:tcPr>
            <w:tcW w:w="899"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eastAsia="NSimSun" w:hAnsi="Times New Roman" w:cs="Lucida Sans"/>
                <w:color w:val="342A06"/>
                <w:kern w:val="2"/>
                <w:sz w:val="24"/>
                <w:szCs w:val="24"/>
                <w:lang w:eastAsia="zh-CN" w:bidi="hi-IN"/>
              </w:rPr>
              <w:t>килограмм</w:t>
            </w:r>
          </w:p>
        </w:tc>
        <w:tc>
          <w:tcPr>
            <w:tcW w:w="1497" w:type="dxa"/>
          </w:tcPr>
          <w:p w:rsidR="00820709" w:rsidRPr="00820709" w:rsidRDefault="00820709" w:rsidP="00820709">
            <w:pPr>
              <w:widowControl w:val="0"/>
              <w:suppressAutoHyphens/>
              <w:spacing w:after="0" w:line="240" w:lineRule="auto"/>
              <w:jc w:val="center"/>
              <w:rPr>
                <w:rFonts w:ascii="Liberation Serif" w:eastAsia="NSimSun" w:hAnsi="Liberation Serif" w:cs="Lucida Sans"/>
                <w:kern w:val="2"/>
                <w:sz w:val="24"/>
                <w:szCs w:val="24"/>
                <w:lang w:eastAsia="zh-CN" w:bidi="hi-IN"/>
              </w:rPr>
            </w:pPr>
            <w:r w:rsidRPr="00820709">
              <w:rPr>
                <w:rFonts w:ascii="Times New Roman" w:eastAsia="NSimSun" w:hAnsi="Times New Roman" w:cs="Times New Roman"/>
                <w:spacing w:val="-1"/>
                <w:kern w:val="2"/>
                <w:sz w:val="24"/>
                <w:szCs w:val="24"/>
                <w:lang w:eastAsia="ru-RU" w:bidi="hi-IN"/>
              </w:rPr>
              <w:t>20.20.14.000-</w:t>
            </w:r>
            <w:r w:rsidRPr="00820709">
              <w:rPr>
                <w:rFonts w:ascii="Times New Roman" w:eastAsia="NSimSun" w:hAnsi="Times New Roman" w:cs="Lucida Sans"/>
                <w:kern w:val="2"/>
                <w:sz w:val="24"/>
                <w:szCs w:val="24"/>
                <w:lang w:eastAsia="zh-CN" w:bidi="hi-IN"/>
              </w:rPr>
              <w:t>00000009</w:t>
            </w:r>
          </w:p>
          <w:p w:rsidR="00820709" w:rsidRPr="00820709" w:rsidRDefault="00820709" w:rsidP="00820709">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98"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74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001"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49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r>
      <w:tr w:rsidR="00310A04" w:rsidRPr="00820709" w:rsidTr="00310A04">
        <w:trPr>
          <w:trHeight w:val="20"/>
          <w:jc w:val="center"/>
        </w:trPr>
        <w:tc>
          <w:tcPr>
            <w:tcW w:w="628" w:type="dxa"/>
          </w:tcPr>
          <w:p w:rsidR="00820709" w:rsidRPr="00820709" w:rsidRDefault="00820709" w:rsidP="00820709">
            <w:pPr>
              <w:numPr>
                <w:ilvl w:val="0"/>
                <w:numId w:val="20"/>
              </w:numPr>
              <w:spacing w:after="0" w:line="240" w:lineRule="auto"/>
              <w:ind w:left="139" w:hanging="283"/>
              <w:contextualSpacing/>
              <w:jc w:val="center"/>
              <w:rPr>
                <w:rFonts w:ascii="Times New Roman" w:hAnsi="Times New Roman" w:cs="Times New Roman"/>
                <w:sz w:val="24"/>
                <w:szCs w:val="24"/>
                <w:lang w:eastAsia="ru-RU"/>
              </w:rPr>
            </w:pPr>
          </w:p>
        </w:tc>
        <w:tc>
          <w:tcPr>
            <w:tcW w:w="1942" w:type="dxa"/>
          </w:tcPr>
          <w:p w:rsidR="00820709" w:rsidRPr="00820709" w:rsidRDefault="00820709" w:rsidP="00820709">
            <w:pPr>
              <w:spacing w:after="0"/>
              <w:rPr>
                <w:rFonts w:ascii="Times New Roman" w:hAnsi="Times New Roman" w:cs="Times New Roman"/>
                <w:sz w:val="24"/>
                <w:szCs w:val="24"/>
              </w:rPr>
            </w:pPr>
            <w:r w:rsidRPr="00820709">
              <w:rPr>
                <w:rFonts w:ascii="Times New Roman" w:hAnsi="Times New Roman" w:cs="Times New Roman"/>
                <w:sz w:val="24"/>
                <w:szCs w:val="24"/>
              </w:rPr>
              <w:t>Средство дезинфицирующее</w:t>
            </w:r>
          </w:p>
        </w:tc>
        <w:tc>
          <w:tcPr>
            <w:tcW w:w="5769" w:type="dxa"/>
          </w:tcPr>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гранулы.</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Дополнительные характеристики:*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Содержит в качестве действующего вещества натриевую соль дихлоризоциануровой кислоты, а также функциональные компоненты, способствующие лучшему растворению средства и ПАВ, массовая доля активного хлора не менее 58%.</w:t>
            </w:r>
            <w:r w:rsidRPr="00820709">
              <w:rPr>
                <w:rFonts w:ascii="Times New Roman" w:hAnsi="Times New Roman" w:cs="Times New Roman"/>
                <w:sz w:val="24"/>
                <w:szCs w:val="24"/>
              </w:rPr>
              <w:cr/>
              <w:t>Средство должно быть предназначено для: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поверхностей в помещениях при проведении генеральных уборок, заключительной дезинфекции;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дезинфекции медицинских изделий;</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дезинфекции медицинских отходов перед их утилизацией;</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дезинфекции биологических жидкостей и выделений (крови, мочи, мокроты, фекалий, фекально-мочевой взвеси, рвотных масс, ликвора, смывных жидкостей (эндоскопических, после ополаскивания зева и других), сывороток, анатоксинов, иммунобиологических препаратов, живых вакцин, непригодных к использованию, пищевых отходов, емкостей из-под выделений;</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обеззараживания поверхностей, пораженных плесневыми грибами;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дезинфекции объектов, потенциально опасных в отношении распространения легионеллезной инфекции;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дезинфекции объектов, контаминированных ДНК/РНК-ампликонами в ПЦР-лабораториях;</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обеззараживания (дезинвазии) почвы, помещений, оборудования при контаминации возбудителями паразитарных болезней (цистами и ооцистами простейших, яйцами и личинками гельминтов, остриций);</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дезинфекции скорлупы пищевых яиц;</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дезинфекции емкостей для хранения воды.</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обладать антимикробным действием в отношении бактерий (включая микобактерии туберкулеза – тестировано на M.terrae, возбудителей легионеллеза, внутрибольничных, анаэробных инфекций, особо опасных инфекций - чумы, холеры, туляремии, сибирской язвы), вирусов (включая вирус  полиомиелита, энтеральных и парентеральных гепатитов, ВИЧ и др.), грибов рода Кандида, Трихофитон, плесневых грибов, спор бактерий.</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иметь следующий расход – из 1 кг средства можно приготовить:</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не менее 7140 л раствора для дезинфекции поверхностей при бактериальных инфекциях при экспозиции не более 30 мин;</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не менее 7140 л раствора для дезинфекции поверхностей при вирусных инфекциях при экспозиции не более 60 мин;</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не менее 890 л раствора для дезинфекции поверхностей при туберкулезе при экспозиции не более 30 мин.</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не менее 1785 л раствора для дезинфекции поверхностей при особо опасных инфекциях (чума, холера, туляремия) при экспозиции не более 60 мин.</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Срок годности средства в невскрытой упаковке производителя не менее 5 лет. Срок годности рабочих растворов средства должен быть не менее 20 суток.</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поставляться весом не менее 1 кг в полимерных емкостях.</w:t>
            </w:r>
          </w:p>
          <w:p w:rsidR="00820709" w:rsidRPr="00820709" w:rsidRDefault="00820709" w:rsidP="00820709">
            <w:pPr>
              <w:contextualSpacing/>
              <w:rPr>
                <w:rFonts w:ascii="Times New Roman" w:hAnsi="Times New Roman" w:cs="Times New Roman"/>
                <w:sz w:val="24"/>
                <w:szCs w:val="24"/>
              </w:rPr>
            </w:pPr>
          </w:p>
        </w:tc>
        <w:tc>
          <w:tcPr>
            <w:tcW w:w="748"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95</w:t>
            </w:r>
          </w:p>
        </w:tc>
        <w:tc>
          <w:tcPr>
            <w:tcW w:w="899"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eastAsia="NSimSun" w:hAnsi="Times New Roman" w:cs="Lucida Sans"/>
                <w:color w:val="342A06"/>
                <w:kern w:val="2"/>
                <w:sz w:val="24"/>
                <w:szCs w:val="24"/>
                <w:lang w:eastAsia="zh-CN" w:bidi="hi-IN"/>
              </w:rPr>
              <w:t>килограмм</w:t>
            </w:r>
          </w:p>
        </w:tc>
        <w:tc>
          <w:tcPr>
            <w:tcW w:w="1497" w:type="dxa"/>
          </w:tcPr>
          <w:p w:rsidR="00820709" w:rsidRPr="00820709" w:rsidRDefault="00820709" w:rsidP="00820709">
            <w:pPr>
              <w:shd w:val="clear" w:color="auto" w:fill="FFFFFF"/>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20.20.14.000-00000004</w:t>
            </w:r>
          </w:p>
        </w:tc>
        <w:tc>
          <w:tcPr>
            <w:tcW w:w="1198"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74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001"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49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r>
      <w:tr w:rsidR="00310A04" w:rsidRPr="00820709" w:rsidTr="00310A04">
        <w:trPr>
          <w:trHeight w:val="20"/>
          <w:jc w:val="center"/>
        </w:trPr>
        <w:tc>
          <w:tcPr>
            <w:tcW w:w="628" w:type="dxa"/>
          </w:tcPr>
          <w:p w:rsidR="00820709" w:rsidRPr="00820709" w:rsidRDefault="00820709" w:rsidP="00820709">
            <w:pPr>
              <w:numPr>
                <w:ilvl w:val="0"/>
                <w:numId w:val="20"/>
              </w:numPr>
              <w:spacing w:after="0" w:line="240" w:lineRule="auto"/>
              <w:ind w:left="139" w:hanging="283"/>
              <w:contextualSpacing/>
              <w:jc w:val="center"/>
              <w:rPr>
                <w:rFonts w:ascii="Times New Roman" w:hAnsi="Times New Roman" w:cs="Times New Roman"/>
                <w:sz w:val="24"/>
                <w:szCs w:val="24"/>
                <w:lang w:eastAsia="ru-RU"/>
              </w:rPr>
            </w:pPr>
          </w:p>
        </w:tc>
        <w:tc>
          <w:tcPr>
            <w:tcW w:w="1942" w:type="dxa"/>
          </w:tcPr>
          <w:p w:rsidR="00820709" w:rsidRPr="00820709" w:rsidRDefault="00820709" w:rsidP="00820709">
            <w:pPr>
              <w:spacing w:after="0"/>
              <w:rPr>
                <w:rFonts w:ascii="Times New Roman" w:hAnsi="Times New Roman" w:cs="Times New Roman"/>
                <w:sz w:val="24"/>
                <w:szCs w:val="24"/>
              </w:rPr>
            </w:pPr>
            <w:r w:rsidRPr="00820709">
              <w:rPr>
                <w:rFonts w:ascii="Times New Roman" w:hAnsi="Times New Roman" w:cs="Times New Roman"/>
                <w:sz w:val="24"/>
                <w:szCs w:val="24"/>
              </w:rPr>
              <w:t>Средство дезинфицирующее</w:t>
            </w:r>
          </w:p>
        </w:tc>
        <w:tc>
          <w:tcPr>
            <w:tcW w:w="5769" w:type="dxa"/>
          </w:tcPr>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жидкость.</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Дополнительные характеристики:*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Дезинфицирующее средство с моющим и дезодорирующим эффектом, концентрат.</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Состав: ДВ - комбинация ЧАС (суммарно не менее 12%).</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содержать натуральные терпеновые масла цитрусовых растений и неионогенные ПАВ. Не должно содержать других активных действующих веществ и искусственных отдушек. рН 1% водного раствора - нейтральный.</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Антимикробная активность: бактерицидное (в том числе в отношении возбудителей особо опасных инфекций (чумы, холеры, туляремии), легионеллеза, внутрибольничных инфекций), вирулицидное (включая вирусы парентеральных и энтеральных гепатитов, полиомиелита, ВИЧ, аденовирусы, вирусы гриппа, парагриппа, птичьего гриппа, свиного гриппа, других возбудителей ОРВИ, энтеровирусы, ротавирусы, герпеса и др.) и фунгицидное (в отношении грибов родов Кандида, Трихофитон и плесневых грибов) действие, а также овоцидные свойства в отношении возбудителей кишечных гельминтозов.</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быть разрешено к применению:</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для дезинфекции, мойки и дезодорирования поверхностей в ЛПУ любого профиля, в том числе в родильных, детских отделениях, лабораториях любого профиля. </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Выход рабочего раствора из 1 л средства для дезинфекции поверхностей при времени экспозиции не более 60мин должен составлять не менее 2000 л в отношении бактериальных инфекций и не менее 250 л в отношении вирусов; </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для дезинфекции и нейтрализации неприятных запахов медицинских отходов, биологического материала, включая кровь, мочу, фекалии, мокроту, рвотные массы, и др., для дезинфекции посуды из-под выделений больного, а также пищевых отходов в ЛПУ; </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для обработки поверхностей, пораженных плесенью;</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для обеззараживания (дезинвазии) предметов обихода, помещений, лабораторной посуды и оборудования, контаминированных возбудителями паразитарных болезней; </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для дезинфекции, мойки и дезодорации холодильных камер и установок, холодильных помещений на предприятиях и в учреждениях любого профиля.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Основные характеристики: Должно полностью нейтрализовать неприятные запахи (в т. ч. запах мочи, гнилостные запахи, запах плесени, посторонние запахи в помещениях с лежачими больными). По параметрам острой токсичности при нанесении на кожу и при ингаляционном воздействии в виде паров должно относиться не ниже, чем к 4 классу опасности. Дезинфекцию поверхностей способом протирания разрешено проводить в присутствии людей без средств защиты органов дыхания. После обработки смывание остатков раствора, а также проветривание помещения не требуется.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Срок годности: не менее 5 лет</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Срок годности рабочего раствора – не менее 20 суток.</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флакон не менее 1 литра</w:t>
            </w:r>
          </w:p>
        </w:tc>
        <w:tc>
          <w:tcPr>
            <w:tcW w:w="748"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973</w:t>
            </w:r>
          </w:p>
        </w:tc>
        <w:tc>
          <w:tcPr>
            <w:tcW w:w="899"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Литр;^кубический дециметр</w:t>
            </w:r>
          </w:p>
        </w:tc>
        <w:tc>
          <w:tcPr>
            <w:tcW w:w="1497"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20.20.14.000-00000005</w:t>
            </w:r>
          </w:p>
        </w:tc>
        <w:tc>
          <w:tcPr>
            <w:tcW w:w="1198"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74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001"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49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r>
      <w:tr w:rsidR="00310A04" w:rsidRPr="00820709" w:rsidTr="00310A04">
        <w:trPr>
          <w:trHeight w:val="20"/>
          <w:jc w:val="center"/>
        </w:trPr>
        <w:tc>
          <w:tcPr>
            <w:tcW w:w="628" w:type="dxa"/>
          </w:tcPr>
          <w:p w:rsidR="00820709" w:rsidRPr="00820709" w:rsidRDefault="00820709" w:rsidP="00820709">
            <w:pPr>
              <w:numPr>
                <w:ilvl w:val="0"/>
                <w:numId w:val="20"/>
              </w:numPr>
              <w:spacing w:after="0" w:line="240" w:lineRule="auto"/>
              <w:ind w:left="139" w:hanging="283"/>
              <w:contextualSpacing/>
              <w:jc w:val="center"/>
              <w:rPr>
                <w:rFonts w:ascii="Times New Roman" w:hAnsi="Times New Roman" w:cs="Times New Roman"/>
                <w:sz w:val="24"/>
                <w:szCs w:val="24"/>
                <w:lang w:eastAsia="ru-RU"/>
              </w:rPr>
            </w:pPr>
          </w:p>
        </w:tc>
        <w:tc>
          <w:tcPr>
            <w:tcW w:w="1942" w:type="dxa"/>
          </w:tcPr>
          <w:p w:rsidR="00820709" w:rsidRPr="00820709" w:rsidRDefault="00820709" w:rsidP="00820709">
            <w:pPr>
              <w:spacing w:after="0"/>
              <w:rPr>
                <w:rFonts w:ascii="Times New Roman" w:hAnsi="Times New Roman" w:cs="Times New Roman"/>
                <w:sz w:val="24"/>
                <w:szCs w:val="24"/>
              </w:rPr>
            </w:pPr>
            <w:r w:rsidRPr="00820709">
              <w:rPr>
                <w:rFonts w:ascii="Times New Roman" w:hAnsi="Times New Roman" w:cs="Times New Roman"/>
                <w:sz w:val="24"/>
                <w:szCs w:val="24"/>
              </w:rPr>
              <w:t>Средство дезинфицирующее</w:t>
            </w:r>
          </w:p>
        </w:tc>
        <w:tc>
          <w:tcPr>
            <w:tcW w:w="5769" w:type="dxa"/>
          </w:tcPr>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жидкость.</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Дополнительные характеристики</w:t>
            </w:r>
            <w:r w:rsidR="005824A8">
              <w:rPr>
                <w:rFonts w:ascii="Times New Roman" w:hAnsi="Times New Roman" w:cs="Times New Roman"/>
                <w:sz w:val="24"/>
                <w:szCs w:val="24"/>
              </w:rPr>
              <w:t>*</w:t>
            </w:r>
            <w:r w:rsidRPr="00820709">
              <w:rPr>
                <w:rFonts w:ascii="Times New Roman" w:hAnsi="Times New Roman" w:cs="Times New Roman"/>
                <w:sz w:val="24"/>
                <w:szCs w:val="24"/>
              </w:rPr>
              <w:t>:</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Дезинфицирующее средство с моющим эффектом. Жидкий концентрат.</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Состав: ДВ - перекись водорода – не менее 25%, ЧАС, а также функциональные добавки и ингибитор коррозии. Не должно содержать производных гуанидина (для исключения пленкообразования), спиртов (для исключения фиксирующего действия), искусственных ароматизаторов.</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 рН 1% водного раствора средства – 2,0-4,0.</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Антимикробная активность: средство должно проявлять бактерицидное в отношении грамотрицательных и грамположительных микроорганизмов (в том числе в отношении кишечной палочки и сальмонеллы, а также возбудителей внутрибольничных инфекций, включая метициллин-резистентный стафилококк, ванкомицин-резистентный энтерококк, синегнойную палочку, в отношении возбудителей туберкулеза – тестировано на культуре тест-штамма М.terrae, легионеллеза, особо опасных инфекций (ООИ) – чумы, холеры, туляремии, сибирской язвы, и в отношении анаэробных инфекций, вирулицидное  и фунгицидное (в отношении грибов родов Кандида, Трихофитон и плесневых грибов) действие, а также обладать овоцидными свойствами в отношении возбудителей кишечных гельминтозов. Средство должно обладать спороцидным действием.</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Должно расщепляет биопленки, образуемые микроорганизмами.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По параметрам острой токсичности при нанесении на кожу и при ингаляционном воздействии в виде паров должно относиться не ниже, чем к 4 классу опасности. Дезинфекцию способом протирания можно проводить в присутствии людей без средств защиты органов дыхания при условии соблюдения нормы расхода средства.</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Должно обладать утвержденными режимами: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высокого уровня (ДВУ) эндоскопов.</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Выход рабочего раствора из 1 л средства должен составлять не менее 13 л при экспозиции не более 30 мин ручным и механизированным способом;</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стерилизации ИМН, включая хирургические и стоматологические инструменты, жесткие и гибкие эндоскопы, инструменты к ним.</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Выход рабочего раствора из 1 л средства должен составлять не менее 10 л при экспозиции не более 30 мин;</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хирургических и стоматологических инструментов, инструментов к эндоскопам, в т.ч. при анаэробных инфекциях и туберкулезе;</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совмещенной с ПСО, изделий медицинского назначения, включая хирургические и стоматологические инструменты, инструменты к эндоскопам, ручным и механизированным способами;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биологического материала, включая кровь (в т.ч. сгустки крови), мочу и др;</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датчиков УЗ- и физиотерапевтического оборудования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оборудования в лабораториях, в т.ч. предметных стекол с целью очистки от иммерсионного масла;</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проведения генеральных уборок.</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Выход рабочего раствора из 1 л средства должен составлять не менее 200 л при экспозиции не более 15 минут в палатных отделениях и не менее 100 л при экспозиции не более 60 мин в операционных блоках;</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обеззараживания (дезинвазии) предметов обихода, игрушек, помещений, лабораторной посуды и лабораторного оборудования, контаминированных возбудителями паразитарных болезней;</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дезинфекции яйца для приготовления блюд;</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обработки поверхностей, пораженных плесенью.</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Срок годности – не менее 2 лет, рабочих растворов – не менее 14 суток при многократном использовании.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флакон не менее 1 литра с газоотводной крышкой.</w:t>
            </w:r>
          </w:p>
          <w:p w:rsidR="00820709" w:rsidRPr="00820709" w:rsidRDefault="00820709" w:rsidP="00820709">
            <w:pPr>
              <w:ind w:right="43"/>
              <w:contextualSpacing/>
              <w:jc w:val="both"/>
              <w:rPr>
                <w:rFonts w:ascii="Times New Roman" w:hAnsi="Times New Roman" w:cs="Times New Roman"/>
                <w:sz w:val="24"/>
                <w:szCs w:val="24"/>
              </w:rPr>
            </w:pPr>
          </w:p>
        </w:tc>
        <w:tc>
          <w:tcPr>
            <w:tcW w:w="748"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796</w:t>
            </w:r>
          </w:p>
        </w:tc>
        <w:tc>
          <w:tcPr>
            <w:tcW w:w="899"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Литр;^кубический дециметр</w:t>
            </w:r>
          </w:p>
        </w:tc>
        <w:tc>
          <w:tcPr>
            <w:tcW w:w="1497" w:type="dxa"/>
          </w:tcPr>
          <w:p w:rsidR="00820709" w:rsidRPr="00820709" w:rsidRDefault="00820709" w:rsidP="00820709">
            <w:pPr>
              <w:spacing w:after="0" w:line="240" w:lineRule="auto"/>
              <w:rPr>
                <w:rFonts w:ascii="Times New Roman" w:eastAsia="MS Mincho" w:hAnsi="Times New Roman" w:cs="Times New Roman"/>
                <w:lang w:eastAsia="ja-JP"/>
              </w:rPr>
            </w:pPr>
            <w:r w:rsidRPr="00820709">
              <w:rPr>
                <w:rFonts w:ascii="Times New Roman" w:eastAsia="MS Mincho" w:hAnsi="Times New Roman" w:cs="Times New Roman"/>
                <w:lang w:eastAsia="ja-JP"/>
              </w:rPr>
              <w:t>20.20.14.000-00000005</w:t>
            </w:r>
          </w:p>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198"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74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001"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49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r>
      <w:tr w:rsidR="00820709" w:rsidRPr="00820709" w:rsidTr="00310A04">
        <w:trPr>
          <w:trHeight w:val="20"/>
          <w:jc w:val="center"/>
        </w:trPr>
        <w:tc>
          <w:tcPr>
            <w:tcW w:w="628" w:type="dxa"/>
          </w:tcPr>
          <w:p w:rsidR="00820709" w:rsidRPr="00820709" w:rsidRDefault="00820709" w:rsidP="00820709">
            <w:pPr>
              <w:numPr>
                <w:ilvl w:val="0"/>
                <w:numId w:val="20"/>
              </w:numPr>
              <w:spacing w:after="0" w:line="240" w:lineRule="auto"/>
              <w:ind w:left="139" w:hanging="283"/>
              <w:contextualSpacing/>
              <w:jc w:val="center"/>
              <w:rPr>
                <w:rFonts w:ascii="Times New Roman" w:hAnsi="Times New Roman" w:cs="Times New Roman"/>
                <w:sz w:val="24"/>
                <w:szCs w:val="24"/>
                <w:lang w:eastAsia="ru-RU"/>
              </w:rPr>
            </w:pPr>
          </w:p>
        </w:tc>
        <w:tc>
          <w:tcPr>
            <w:tcW w:w="1942" w:type="dxa"/>
          </w:tcPr>
          <w:p w:rsidR="00820709" w:rsidRPr="00820709" w:rsidRDefault="00820709" w:rsidP="00820709">
            <w:pPr>
              <w:spacing w:after="0"/>
              <w:rPr>
                <w:rFonts w:ascii="Times New Roman" w:hAnsi="Times New Roman" w:cs="Times New Roman"/>
                <w:sz w:val="24"/>
                <w:szCs w:val="24"/>
              </w:rPr>
            </w:pPr>
            <w:r w:rsidRPr="00820709">
              <w:rPr>
                <w:rFonts w:ascii="Times New Roman" w:hAnsi="Times New Roman" w:cs="Times New Roman"/>
                <w:sz w:val="24"/>
                <w:szCs w:val="24"/>
              </w:rPr>
              <w:t>Средство дезинфицирующее</w:t>
            </w:r>
          </w:p>
        </w:tc>
        <w:tc>
          <w:tcPr>
            <w:tcW w:w="5769" w:type="dxa"/>
          </w:tcPr>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салфетка.</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Дополнительные характеристики:*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соответствовать:</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Единым санитарно-эпидемиологическим и гигиеническим требованиям к товарам, подлежащим санитарно-эпидемиологическому надзору (контролю)</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требованиям ГОСТ 12.1.007-76 (Пп. 1.2, 1.3)</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Нормативным показателям безопасности и эффективности дезинфекционных средств, подлежащих контролю при проведении обязательной сертификации № 01-12/75-97 (Пп. 1.1–1.7, 2.1– 2.9, 5.1)</w:t>
            </w:r>
            <w:r w:rsidR="0065257C">
              <w:rPr>
                <w:rFonts w:ascii="Times New Roman" w:hAnsi="Times New Roman" w:cs="Times New Roman"/>
                <w:sz w:val="24"/>
                <w:szCs w:val="24"/>
              </w:rPr>
              <w:t xml:space="preserve"> </w:t>
            </w:r>
            <w:r w:rsidR="0065257C" w:rsidRPr="0065257C">
              <w:rPr>
                <w:rFonts w:ascii="Times New Roman" w:hAnsi="Times New Roman" w:cs="Times New Roman"/>
                <w:sz w:val="24"/>
                <w:szCs w:val="24"/>
              </w:rPr>
              <w:t>(утв. Главным госуда</w:t>
            </w:r>
            <w:r w:rsidR="0065257C">
              <w:rPr>
                <w:rFonts w:ascii="Times New Roman" w:hAnsi="Times New Roman" w:cs="Times New Roman"/>
                <w:sz w:val="24"/>
                <w:szCs w:val="24"/>
              </w:rPr>
              <w:t>рственным санитарным врачом РФ)</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представлять собой влажные салфетки для однократного использования, из нетканого безворсового матер</w:t>
            </w:r>
            <w:r w:rsidR="00B76C7F">
              <w:rPr>
                <w:rFonts w:ascii="Times New Roman" w:hAnsi="Times New Roman" w:cs="Times New Roman"/>
                <w:sz w:val="24"/>
                <w:szCs w:val="24"/>
              </w:rPr>
              <w:t>иала плотностью не менее 45г/м2</w:t>
            </w:r>
            <w:r w:rsidRPr="00820709">
              <w:rPr>
                <w:rFonts w:ascii="Times New Roman" w:hAnsi="Times New Roman" w:cs="Times New Roman"/>
                <w:sz w:val="24"/>
                <w:szCs w:val="24"/>
              </w:rPr>
              <w:t>, пропитанные дезинфицирующим составом, содержащим в качестве действующего вещества не менее 65% смеси пропиловых спиртов и ЧАС не более 0,18%.  Рh должен быть в интервале от 7,0 до 8,0.   Салфетки должны быть предназначены для очистки и дезинфекции различных твердых поверхностей, предметов в ЛПУ, а именно: небольших по площади поверхностей в помещениях; поверхностей медицинских приборов и оборудования (в т.ч. поверхности аппаратов искусственного дыхания и анестезиологического оборудования; барокамер, кувезов,  оптических приборов и оборудования; датчиков УЗИ, маммографов; предметов ухода за больными), предметных стекол - очистка от иммерсионного масла, дезинфекции стоматологических инструментов для неинвазивных манипуляций, в том числе стоматологических наконечников, а также дезинфекции кожных покровов пациентов перед проведением медицинских манипуляций, обработки локтевых сгибов доноров , медицинских перчаток, надетых на руки персонала, а также  дезинфекции рук медицинского персонала в ЛПО любого профиля.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Средство должно обладать бактерицидной активностью (включая микобактерии туберкулеза и возбудителей внутрибольничных инфекций), вирулицидной активностью, фунгицидной активностью. Туберкулоцидная активность средства должна быть тестирована на культурах тест-штаммов Mycobacterium terraе. При обработке поверхностей по вирусному режиму  время экспозиции должно быть не более 0,5 минуты при однократном протирании, по туберкулёзному режиму не более 3 минут при двукратном протирании. Пропиточный состав салфеток согласно ГОСТ 12.1.007-76 при введении в желудок и нанесении на кожу  должен относиться не ниже чем  к 4 классу малоопасных соединений, при парентеральном (внутрибрюшинном) введении - к 5 классу практически нетоксичных веществ.  Должно быть  разрешено применение средства  в присутствии пациентов.</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Срок годности средства со дня изготовления в невскрытой упаковке должен быть не менее 3-х лет; после вскрытия упаковки средство должно быть пригодно для применения в течение не менее  3-х месяцев.</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Салфетки должны быть упакованы в полимерную емкость, снабженнyю открывающейся крышкой со специальным отверстием для извлечения одной салфетки, перфорированный рулон должен содержать не менее 120 салфеток  размером не менее 200*200 мм. Масса пропиточного состава одной салфетки должна составлять не менее 5г.</w:t>
            </w:r>
          </w:p>
        </w:tc>
        <w:tc>
          <w:tcPr>
            <w:tcW w:w="748"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1235</w:t>
            </w:r>
          </w:p>
        </w:tc>
        <w:tc>
          <w:tcPr>
            <w:tcW w:w="899"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Упаковка</w:t>
            </w:r>
          </w:p>
        </w:tc>
        <w:tc>
          <w:tcPr>
            <w:tcW w:w="1497" w:type="dxa"/>
          </w:tcPr>
          <w:p w:rsidR="00820709" w:rsidRPr="00820709" w:rsidRDefault="00820709" w:rsidP="00820709">
            <w:pPr>
              <w:spacing w:after="0" w:line="240" w:lineRule="auto"/>
              <w:rPr>
                <w:rFonts w:ascii="Times New Roman" w:eastAsia="MS Mincho" w:hAnsi="Times New Roman" w:cs="Times New Roman"/>
                <w:lang w:eastAsia="ja-JP"/>
              </w:rPr>
            </w:pPr>
            <w:r w:rsidRPr="00820709">
              <w:rPr>
                <w:rFonts w:ascii="Times New Roman" w:eastAsia="MS Mincho" w:hAnsi="Times New Roman" w:cs="Times New Roman"/>
                <w:lang w:eastAsia="ja-JP"/>
              </w:rPr>
              <w:t>20.20.14.000-00000007</w:t>
            </w:r>
          </w:p>
        </w:tc>
        <w:tc>
          <w:tcPr>
            <w:tcW w:w="1198"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74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001"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49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r>
      <w:tr w:rsidR="00820709" w:rsidRPr="00820709" w:rsidTr="00310A04">
        <w:trPr>
          <w:trHeight w:val="20"/>
          <w:jc w:val="center"/>
        </w:trPr>
        <w:tc>
          <w:tcPr>
            <w:tcW w:w="628" w:type="dxa"/>
          </w:tcPr>
          <w:p w:rsidR="00820709" w:rsidRPr="00820709" w:rsidRDefault="00820709" w:rsidP="00820709">
            <w:pPr>
              <w:numPr>
                <w:ilvl w:val="0"/>
                <w:numId w:val="20"/>
              </w:numPr>
              <w:spacing w:after="0" w:line="240" w:lineRule="auto"/>
              <w:ind w:left="139" w:hanging="283"/>
              <w:contextualSpacing/>
              <w:jc w:val="center"/>
              <w:rPr>
                <w:rFonts w:ascii="Times New Roman" w:hAnsi="Times New Roman" w:cs="Times New Roman"/>
                <w:sz w:val="24"/>
                <w:szCs w:val="24"/>
                <w:lang w:eastAsia="ru-RU"/>
              </w:rPr>
            </w:pPr>
          </w:p>
        </w:tc>
        <w:tc>
          <w:tcPr>
            <w:tcW w:w="1942" w:type="dxa"/>
          </w:tcPr>
          <w:p w:rsidR="00820709" w:rsidRPr="00820709" w:rsidRDefault="00820709" w:rsidP="00820709">
            <w:pPr>
              <w:spacing w:after="0"/>
              <w:rPr>
                <w:rFonts w:ascii="Times New Roman" w:hAnsi="Times New Roman" w:cs="Times New Roman"/>
                <w:sz w:val="24"/>
                <w:szCs w:val="24"/>
              </w:rPr>
            </w:pPr>
            <w:r w:rsidRPr="00820709">
              <w:rPr>
                <w:rFonts w:ascii="Times New Roman" w:hAnsi="Times New Roman" w:cs="Times New Roman"/>
                <w:sz w:val="24"/>
                <w:szCs w:val="24"/>
              </w:rPr>
              <w:t>Средство дезинфицирующее</w:t>
            </w:r>
          </w:p>
        </w:tc>
        <w:tc>
          <w:tcPr>
            <w:tcW w:w="5769" w:type="dxa"/>
          </w:tcPr>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гель.</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Дополнительные характеристики:*</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Дезинфицирующее средство - универсальное антисептическое жидкое мыло.</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Готовое к применению средство в виде полупрозрачной гелеобразной жидкости бесцветной или цвета применяемого красителя без запаха или с запахом применяемой отдушки.  В качестве действующих веществ средство должно содержать комплекс не более чем 2-х четвертичных аммониевых соединений (ЧАС) – не более 0,8 % и полигексаметиленгуанидин фосфат (ПГМГ) – не более 0,2 %, а также мягкие амфотерные поверхностно-активные вещества, увлажняющие и ухаживающие за кожей добавки; рН 1,0% раствора 6,5 ± 1,0 ед. Средство должно обладать смягчающими и  увлажняющими кожу свойствами, дезодорирующим эффектом. По параметрам острой токсичности должно относиться не ниже, чем к 4 классу малоопасных веществ. Нанесение препарата на скарифицированную кожу не должно осложнять заживления ран. </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Средство должно обладать антимикробной активностью в отношении грамотрицательных и грамположительных бактерий, включая возбудителей внутрибольничных инфекций (в т.ч. сальмонелл,  стафилококков, энтерококков, синегнойной палочки), возбудителей туберкулеза (туберкулостатическое действие тестировано на культуры тест-штамма Mycobacterium terrae), вирусов - возбудителей парентеральных гепатитов, ВИЧ-инфекции, герпеса, грибов рода Candida, Trichophyton. </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Предназначено для: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 xml:space="preserve">гигиенической обработки рук медицинского персонала ЛПУ любого профиля,  включая неонатологические, инфекционные, туберкулезные; санпропускников; работников скорой медицинской помощи, работников лабораторий (в том числе бактериологических, микологических, иммунологических, клинических и прочих), работников дезинфекционных станций и др. </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Расход при гигиенической обработке рук: не более 2 мл, время обработки не более 1 минуты.</w:t>
            </w:r>
          </w:p>
          <w:p w:rsidR="00310A04"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санитарной обработки кожных покровов пациентов лечебно-профилактических учреждений (в т. ч. перед оперативными вмешательствами и в процессе ежедневного ухода за лежачими больными с целью устранения неприятного запаха и снижения риска возникновения воспалительных заболеваний кожи), включая лиц, поступающих в приемные отделения, в том числе, получивших травмы вследствие аварий, автомобильных и прочих катастроф, производственных травм;</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мытья и дезинфекции поверхностей из любых материалов.</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Расход средства в отношении бактериальных инфекций (кроме туберкулеза) должен составлять не более 900 мл на 10 литров воды при экспозиции не более 5 минут.</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стирки и дезинфекционной обработки белья вручную, расход раствора средства не более 4л на 1 кг сухого белья.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мытья и дезинфекционной обработки столовой посуды, тары, емкостей, разделочных столов, холодильников, стен, полов, окон вручную способом протирания, погружения и замачивания</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Срок годности средства – не менее 3-х лет.</w:t>
            </w:r>
          </w:p>
          <w:p w:rsidR="00820709" w:rsidRPr="00820709" w:rsidRDefault="00820709" w:rsidP="00820709">
            <w:pPr>
              <w:contextualSpacing/>
              <w:rPr>
                <w:rFonts w:ascii="Times New Roman" w:hAnsi="Times New Roman" w:cs="Times New Roman"/>
                <w:sz w:val="24"/>
                <w:szCs w:val="24"/>
              </w:rPr>
            </w:pPr>
            <w:r w:rsidRPr="00820709">
              <w:rPr>
                <w:rFonts w:ascii="Times New Roman" w:hAnsi="Times New Roman" w:cs="Times New Roman"/>
                <w:sz w:val="24"/>
                <w:szCs w:val="24"/>
              </w:rPr>
              <w:t>Форма выпуска: флакон не менее 1 литра</w:t>
            </w:r>
          </w:p>
        </w:tc>
        <w:tc>
          <w:tcPr>
            <w:tcW w:w="748"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Times New Roman" w:hAnsi="Times New Roman" w:cs="Times New Roman"/>
                <w:sz w:val="24"/>
                <w:szCs w:val="24"/>
                <w:lang w:eastAsia="ru-RU"/>
              </w:rPr>
              <w:t>78</w:t>
            </w:r>
          </w:p>
        </w:tc>
        <w:tc>
          <w:tcPr>
            <w:tcW w:w="899" w:type="dxa"/>
          </w:tcPr>
          <w:p w:rsidR="00820709" w:rsidRPr="00820709" w:rsidRDefault="00820709" w:rsidP="00820709">
            <w:pPr>
              <w:spacing w:after="0" w:line="240" w:lineRule="auto"/>
              <w:jc w:val="center"/>
              <w:rPr>
                <w:rFonts w:ascii="Times New Roman" w:hAnsi="Times New Roman" w:cs="Times New Roman"/>
                <w:sz w:val="24"/>
                <w:szCs w:val="24"/>
                <w:lang w:eastAsia="ru-RU"/>
              </w:rPr>
            </w:pPr>
            <w:r w:rsidRPr="00820709">
              <w:rPr>
                <w:rFonts w:ascii="Roboto" w:eastAsia="NSimSun" w:hAnsi="Roboto" w:cs="Arial"/>
                <w:color w:val="334059"/>
                <w:kern w:val="2"/>
                <w:sz w:val="21"/>
                <w:szCs w:val="21"/>
                <w:lang w:eastAsia="zh-CN" w:bidi="hi-IN"/>
              </w:rPr>
              <w:t>Литр;^кубический дециметр</w:t>
            </w:r>
          </w:p>
        </w:tc>
        <w:tc>
          <w:tcPr>
            <w:tcW w:w="1497" w:type="dxa"/>
          </w:tcPr>
          <w:p w:rsidR="00820709" w:rsidRPr="00820709" w:rsidRDefault="00820709" w:rsidP="00820709">
            <w:pPr>
              <w:widowControl w:val="0"/>
              <w:suppressAutoHyphens/>
              <w:spacing w:after="0" w:line="240" w:lineRule="auto"/>
              <w:jc w:val="center"/>
              <w:rPr>
                <w:rFonts w:ascii="Times New Roman" w:eastAsia="NSimSun" w:hAnsi="Times New Roman" w:cs="Lucida Sans"/>
                <w:kern w:val="2"/>
                <w:sz w:val="24"/>
                <w:szCs w:val="24"/>
                <w:lang w:eastAsia="zh-CN" w:bidi="hi-IN"/>
              </w:rPr>
            </w:pPr>
            <w:r w:rsidRPr="00820709">
              <w:rPr>
                <w:rFonts w:ascii="Times New Roman" w:eastAsia="NSimSun" w:hAnsi="Times New Roman" w:cs="Lucida Sans"/>
                <w:color w:val="000000"/>
                <w:kern w:val="2"/>
                <w:sz w:val="24"/>
                <w:szCs w:val="24"/>
                <w:lang w:eastAsia="zh-CN" w:bidi="hi-IN"/>
              </w:rPr>
              <w:t>20.20.14.000-00000002</w:t>
            </w:r>
          </w:p>
          <w:p w:rsidR="00820709" w:rsidRPr="00820709" w:rsidRDefault="00820709" w:rsidP="00820709">
            <w:pPr>
              <w:spacing w:after="0" w:line="240" w:lineRule="auto"/>
              <w:rPr>
                <w:rFonts w:ascii="Times New Roman" w:eastAsia="MS Mincho" w:hAnsi="Times New Roman" w:cs="Times New Roman"/>
                <w:lang w:eastAsia="ja-JP"/>
              </w:rPr>
            </w:pPr>
          </w:p>
        </w:tc>
        <w:tc>
          <w:tcPr>
            <w:tcW w:w="1198"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74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001"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c>
          <w:tcPr>
            <w:tcW w:w="1499" w:type="dxa"/>
            <w:shd w:val="clear" w:color="auto" w:fill="FFFFCC"/>
          </w:tcPr>
          <w:p w:rsidR="00820709" w:rsidRPr="00820709" w:rsidRDefault="00820709" w:rsidP="00820709">
            <w:pPr>
              <w:spacing w:after="0" w:line="240" w:lineRule="auto"/>
              <w:jc w:val="center"/>
              <w:rPr>
                <w:rFonts w:ascii="Times New Roman" w:hAnsi="Times New Roman" w:cs="Times New Roman"/>
                <w:sz w:val="24"/>
                <w:szCs w:val="24"/>
                <w:lang w:eastAsia="ru-RU"/>
              </w:rPr>
            </w:pPr>
          </w:p>
        </w:tc>
      </w:tr>
    </w:tbl>
    <w:p w:rsidR="00170252" w:rsidRPr="003F0D88" w:rsidRDefault="00310A04" w:rsidP="003F0D88">
      <w:pPr>
        <w:rPr>
          <w:rFonts w:ascii="Times New Roman CYR" w:hAnsi="Times New Roman CYR" w:cs="Times New Roman CYR"/>
          <w:i/>
          <w:iCs/>
          <w:sz w:val="28"/>
          <w:szCs w:val="28"/>
        </w:rPr>
      </w:pPr>
      <w:r>
        <w:rPr>
          <w:rFonts w:ascii="Times New Roman CYR" w:hAnsi="Times New Roman CYR" w:cs="Times New Roman CYR"/>
          <w:i/>
          <w:iCs/>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r w:rsidR="001B4007">
        <w:rPr>
          <w:rFonts w:ascii="Times New Roman CYR" w:hAnsi="Times New Roman CYR" w:cs="Times New Roman CYR"/>
          <w:i/>
          <w:iCs/>
          <w:sz w:val="28"/>
          <w:szCs w:val="28"/>
        </w:rPr>
        <w:t xml:space="preserve">, санитарно-эпидемиологической безопасности пациентов и медицинского персонала, исключения распространения внутрибольничных инфекций, включая </w:t>
      </w:r>
      <w:r w:rsidR="003F0D88" w:rsidRPr="003F0D88">
        <w:rPr>
          <w:rFonts w:ascii="Times New Roman CYR" w:hAnsi="Times New Roman CYR" w:cs="Times New Roman CYR"/>
          <w:i/>
          <w:iCs/>
          <w:sz w:val="28"/>
          <w:szCs w:val="28"/>
        </w:rPr>
        <w:t>SARS-CoV-2</w:t>
      </w:r>
      <w:r w:rsidR="003F0D88">
        <w:rPr>
          <w:rFonts w:ascii="Times New Roman CYR" w:hAnsi="Times New Roman CYR" w:cs="Times New Roman CYR"/>
          <w:i/>
          <w:iCs/>
          <w:sz w:val="28"/>
          <w:szCs w:val="28"/>
        </w:rPr>
        <w:t>.</w:t>
      </w:r>
    </w:p>
    <w:sectPr w:rsidR="00170252" w:rsidRPr="003F0D88" w:rsidSect="0082070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7C" w:rsidRDefault="00A1447C">
      <w:pPr>
        <w:spacing w:after="0" w:line="240" w:lineRule="auto"/>
      </w:pPr>
      <w:r>
        <w:separator/>
      </w:r>
    </w:p>
  </w:endnote>
  <w:endnote w:type="continuationSeparator" w:id="0">
    <w:p w:rsidR="00A1447C" w:rsidRDefault="00A1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160A4" w:rsidRDefault="001160A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160A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160A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160A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160A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160A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F0D8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7C" w:rsidRDefault="00A1447C">
      <w:pPr>
        <w:spacing w:after="0" w:line="240" w:lineRule="auto"/>
      </w:pPr>
      <w:r>
        <w:separator/>
      </w:r>
    </w:p>
  </w:footnote>
  <w:footnote w:type="continuationSeparator" w:id="0">
    <w:p w:rsidR="00A1447C" w:rsidRDefault="00A1447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160A4" w:rsidRDefault="001160A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160A4" w:rsidRDefault="001160A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160A4" w:rsidRDefault="001160A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160A4"/>
    <w:rsid w:val="001233FC"/>
    <w:rsid w:val="001347C5"/>
    <w:rsid w:val="001450A2"/>
    <w:rsid w:val="00145652"/>
    <w:rsid w:val="00145A39"/>
    <w:rsid w:val="0014684C"/>
    <w:rsid w:val="0015409D"/>
    <w:rsid w:val="001570CF"/>
    <w:rsid w:val="00162746"/>
    <w:rsid w:val="0016689A"/>
    <w:rsid w:val="00170252"/>
    <w:rsid w:val="00180633"/>
    <w:rsid w:val="00182395"/>
    <w:rsid w:val="00185A75"/>
    <w:rsid w:val="00185B41"/>
    <w:rsid w:val="0019152C"/>
    <w:rsid w:val="00192794"/>
    <w:rsid w:val="00195CA6"/>
    <w:rsid w:val="001B4007"/>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0A04"/>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3F0D88"/>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24A8"/>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5257C"/>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B2A"/>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0709"/>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447C"/>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6C7F"/>
    <w:rsid w:val="00B77DAE"/>
    <w:rsid w:val="00B8743B"/>
    <w:rsid w:val="00BA5FF8"/>
    <w:rsid w:val="00BB195D"/>
    <w:rsid w:val="00BC0D28"/>
    <w:rsid w:val="00BD3E35"/>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CABB-92C0-49B3-BEF0-0443D2EE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2022-01-28T06:01:00Z</dcterms:created>
  <dcterms:modified xsi:type="dcterms:W3CDTF">2022-01-28T06:01:00Z</dcterms:modified>
</cp:coreProperties>
</file>