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05-07/677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86E3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9"/>
        <w:gridCol w:w="1168"/>
        <w:gridCol w:w="1748"/>
        <w:gridCol w:w="1623"/>
        <w:gridCol w:w="1623"/>
        <w:gridCol w:w="2171"/>
        <w:gridCol w:w="1220"/>
        <w:gridCol w:w="1110"/>
        <w:gridCol w:w="1415"/>
        <w:gridCol w:w="648"/>
        <w:gridCol w:w="901"/>
        <w:gridCol w:w="767"/>
      </w:tblGrid>
      <w:tr w:rsidR="0009090E" w:rsidRPr="008349B8" w:rsidTr="0009090E">
        <w:tc>
          <w:tcPr>
            <w:tcW w:w="522" w:type="pct"/>
            <w:vMerge w:val="restart"/>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товара, работы, услуги</w:t>
            </w:r>
          </w:p>
        </w:tc>
        <w:tc>
          <w:tcPr>
            <w:tcW w:w="434" w:type="pct"/>
            <w:vMerge w:val="restart"/>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Код позиции</w:t>
            </w:r>
          </w:p>
        </w:tc>
        <w:tc>
          <w:tcPr>
            <w:tcW w:w="2403" w:type="pct"/>
            <w:gridSpan w:val="4"/>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Характеристики товара, работы, услуги</w:t>
            </w:r>
          </w:p>
        </w:tc>
        <w:tc>
          <w:tcPr>
            <w:tcW w:w="386" w:type="pct"/>
            <w:vMerge w:val="restart"/>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Количество</w:t>
            </w:r>
          </w:p>
        </w:tc>
        <w:tc>
          <w:tcPr>
            <w:tcW w:w="233" w:type="pct"/>
            <w:vMerge w:val="restart"/>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w:t>
            </w:r>
          </w:p>
        </w:tc>
        <w:tc>
          <w:tcPr>
            <w:tcW w:w="298" w:type="pct"/>
            <w:vMerge w:val="restart"/>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Страна</w:t>
            </w:r>
          </w:p>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происхождения</w:t>
            </w:r>
          </w:p>
        </w:tc>
        <w:tc>
          <w:tcPr>
            <w:tcW w:w="213" w:type="pct"/>
            <w:vMerge w:val="restart"/>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НДС%</w:t>
            </w:r>
          </w:p>
        </w:tc>
        <w:tc>
          <w:tcPr>
            <w:tcW w:w="258" w:type="pct"/>
            <w:vMerge w:val="restart"/>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Цена за единицу </w:t>
            </w:r>
            <w:r>
              <w:rPr>
                <w:rFonts w:ascii="Times New Roman" w:eastAsia="Times New Roman" w:hAnsi="Times New Roman" w:cs="Times New Roman"/>
                <w:b/>
                <w:bCs/>
                <w:color w:val="000000"/>
                <w:sz w:val="20"/>
                <w:szCs w:val="20"/>
                <w:lang w:eastAsia="ru-RU"/>
              </w:rPr>
              <w:t xml:space="preserve">без </w:t>
            </w:r>
            <w:r w:rsidRPr="008349B8">
              <w:rPr>
                <w:rFonts w:ascii="Times New Roman" w:eastAsia="Times New Roman" w:hAnsi="Times New Roman" w:cs="Times New Roman"/>
                <w:b/>
                <w:bCs/>
                <w:color w:val="000000"/>
                <w:sz w:val="20"/>
                <w:szCs w:val="20"/>
                <w:lang w:eastAsia="ru-RU"/>
              </w:rPr>
              <w:t xml:space="preserve"> НДС</w:t>
            </w:r>
          </w:p>
        </w:tc>
        <w:tc>
          <w:tcPr>
            <w:tcW w:w="254" w:type="pct"/>
            <w:vMerge w:val="restart"/>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 xml:space="preserve">Сумма </w:t>
            </w:r>
            <w:r>
              <w:rPr>
                <w:rFonts w:ascii="Times New Roman" w:eastAsia="Times New Roman" w:hAnsi="Times New Roman" w:cs="Times New Roman"/>
                <w:b/>
                <w:bCs/>
                <w:color w:val="000000"/>
                <w:sz w:val="20"/>
                <w:szCs w:val="20"/>
                <w:lang w:eastAsia="ru-RU"/>
              </w:rPr>
              <w:t xml:space="preserve">без </w:t>
            </w:r>
            <w:r w:rsidRPr="008349B8">
              <w:rPr>
                <w:rFonts w:ascii="Times New Roman" w:eastAsia="Times New Roman" w:hAnsi="Times New Roman" w:cs="Times New Roman"/>
                <w:b/>
                <w:bCs/>
                <w:color w:val="000000"/>
                <w:sz w:val="20"/>
                <w:szCs w:val="20"/>
                <w:lang w:eastAsia="ru-RU"/>
              </w:rPr>
              <w:t>НДС</w:t>
            </w:r>
          </w:p>
        </w:tc>
      </w:tr>
      <w:tr w:rsidR="0009090E" w:rsidRPr="008349B8" w:rsidTr="0009090E">
        <w:tc>
          <w:tcPr>
            <w:tcW w:w="522" w:type="pct"/>
            <w:vMerge/>
            <w:vAlign w:val="center"/>
            <w:hideMark/>
          </w:tcPr>
          <w:p w:rsidR="0009090E" w:rsidRPr="008349B8" w:rsidRDefault="0009090E" w:rsidP="00541D71">
            <w:pPr>
              <w:spacing w:after="0" w:line="240" w:lineRule="auto"/>
              <w:rPr>
                <w:rFonts w:ascii="Times New Roman" w:eastAsia="Times New Roman" w:hAnsi="Times New Roman" w:cs="Times New Roman"/>
                <w:b/>
                <w:bCs/>
                <w:color w:val="000000"/>
                <w:sz w:val="20"/>
                <w:szCs w:val="20"/>
                <w:lang w:eastAsia="ru-RU"/>
              </w:rPr>
            </w:pPr>
          </w:p>
        </w:tc>
        <w:tc>
          <w:tcPr>
            <w:tcW w:w="434" w:type="pct"/>
            <w:vMerge/>
            <w:vAlign w:val="center"/>
            <w:hideMark/>
          </w:tcPr>
          <w:p w:rsidR="0009090E" w:rsidRPr="008349B8" w:rsidRDefault="0009090E" w:rsidP="00541D71">
            <w:pPr>
              <w:spacing w:after="0" w:line="240" w:lineRule="auto"/>
              <w:rPr>
                <w:rFonts w:ascii="Times New Roman" w:eastAsia="Times New Roman" w:hAnsi="Times New Roman" w:cs="Times New Roman"/>
                <w:b/>
                <w:bCs/>
                <w:color w:val="000000"/>
                <w:sz w:val="20"/>
                <w:szCs w:val="20"/>
                <w:lang w:eastAsia="ru-RU"/>
              </w:rPr>
            </w:pPr>
          </w:p>
        </w:tc>
        <w:tc>
          <w:tcPr>
            <w:tcW w:w="610" w:type="pct"/>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Наименование характеристики</w:t>
            </w:r>
          </w:p>
        </w:tc>
        <w:tc>
          <w:tcPr>
            <w:tcW w:w="479" w:type="pct"/>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Значение характеристики</w:t>
            </w:r>
          </w:p>
        </w:tc>
        <w:tc>
          <w:tcPr>
            <w:tcW w:w="567" w:type="pct"/>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Единица измерения характеристики</w:t>
            </w:r>
          </w:p>
        </w:tc>
        <w:tc>
          <w:tcPr>
            <w:tcW w:w="747" w:type="pct"/>
            <w:tcMar>
              <w:top w:w="75" w:type="dxa"/>
              <w:left w:w="75" w:type="dxa"/>
              <w:bottom w:w="75" w:type="dxa"/>
              <w:right w:w="75" w:type="dxa"/>
            </w:tcMar>
            <w:vAlign w:val="center"/>
            <w:hideMark/>
          </w:tcPr>
          <w:p w:rsidR="0009090E" w:rsidRPr="008349B8" w:rsidRDefault="0009090E" w:rsidP="00541D71">
            <w:pPr>
              <w:spacing w:after="0" w:line="240" w:lineRule="auto"/>
              <w:jc w:val="center"/>
              <w:rPr>
                <w:rFonts w:ascii="Times New Roman" w:eastAsia="Times New Roman" w:hAnsi="Times New Roman" w:cs="Times New Roman"/>
                <w:b/>
                <w:bCs/>
                <w:color w:val="000000"/>
                <w:sz w:val="20"/>
                <w:szCs w:val="20"/>
                <w:lang w:eastAsia="ru-RU"/>
              </w:rPr>
            </w:pPr>
            <w:r w:rsidRPr="008349B8">
              <w:rPr>
                <w:rFonts w:ascii="Times New Roman" w:eastAsia="Times New Roman" w:hAnsi="Times New Roman" w:cs="Times New Roman"/>
                <w:b/>
                <w:bCs/>
                <w:color w:val="000000"/>
                <w:sz w:val="20"/>
                <w:szCs w:val="20"/>
                <w:lang w:eastAsia="ru-RU"/>
              </w:rPr>
              <w:t>Инструкция по заполнению характеристик в заявке</w:t>
            </w:r>
          </w:p>
        </w:tc>
        <w:tc>
          <w:tcPr>
            <w:tcW w:w="386" w:type="pct"/>
            <w:vMerge/>
            <w:vAlign w:val="center"/>
          </w:tcPr>
          <w:p w:rsidR="0009090E" w:rsidRPr="00145DC7"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vAlign w:val="center"/>
          </w:tcPr>
          <w:p w:rsidR="0009090E" w:rsidRPr="00145DC7"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b/>
                <w:bCs/>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b/>
                <w:bCs/>
                <w:color w:val="000000"/>
                <w:sz w:val="20"/>
                <w:szCs w:val="20"/>
                <w:lang w:eastAsia="ru-RU"/>
              </w:rPr>
            </w:pPr>
          </w:p>
        </w:tc>
        <w:tc>
          <w:tcPr>
            <w:tcW w:w="258" w:type="pct"/>
            <w:vMerge/>
            <w:vAlign w:val="center"/>
            <w:hideMark/>
          </w:tcPr>
          <w:p w:rsidR="0009090E" w:rsidRPr="008349B8" w:rsidRDefault="0009090E" w:rsidP="00541D71">
            <w:pPr>
              <w:spacing w:after="0" w:line="240" w:lineRule="auto"/>
              <w:rPr>
                <w:rFonts w:ascii="Times New Roman" w:eastAsia="Times New Roman" w:hAnsi="Times New Roman" w:cs="Times New Roman"/>
                <w:b/>
                <w:bCs/>
                <w:color w:val="000000"/>
                <w:sz w:val="20"/>
                <w:szCs w:val="20"/>
                <w:lang w:eastAsia="ru-RU"/>
              </w:rPr>
            </w:pPr>
          </w:p>
        </w:tc>
        <w:tc>
          <w:tcPr>
            <w:tcW w:w="254" w:type="pct"/>
            <w:vMerge/>
            <w:vAlign w:val="center"/>
            <w:hideMark/>
          </w:tcPr>
          <w:p w:rsidR="0009090E" w:rsidRPr="008349B8" w:rsidRDefault="0009090E" w:rsidP="00541D71">
            <w:pPr>
              <w:spacing w:after="0" w:line="240" w:lineRule="auto"/>
              <w:rPr>
                <w:rFonts w:ascii="Times New Roman" w:eastAsia="Times New Roman" w:hAnsi="Times New Roman" w:cs="Times New Roman"/>
                <w:b/>
                <w:bCs/>
                <w:color w:val="000000"/>
                <w:sz w:val="20"/>
                <w:szCs w:val="20"/>
                <w:lang w:eastAsia="ru-RU"/>
              </w:rPr>
            </w:pPr>
          </w:p>
        </w:tc>
      </w:tr>
      <w:tr w:rsidR="0009090E" w:rsidRPr="008349B8" w:rsidTr="0009090E">
        <w:tc>
          <w:tcPr>
            <w:tcW w:w="522" w:type="pct"/>
            <w:vMerge w:val="restart"/>
            <w:tcMar>
              <w:top w:w="75" w:type="dxa"/>
              <w:left w:w="75" w:type="dxa"/>
              <w:bottom w:w="75" w:type="dxa"/>
              <w:right w:w="75" w:type="dxa"/>
            </w:tcMar>
            <w:vAlign w:val="center"/>
          </w:tcPr>
          <w:p w:rsidR="0009090E" w:rsidRPr="00E6788D" w:rsidRDefault="0009090E" w:rsidP="00541D71">
            <w:pPr>
              <w:pStyle w:val="af7"/>
              <w:rPr>
                <w:rFonts w:ascii="Times New Roman" w:hAnsi="Times New Roman"/>
                <w:color w:val="000000"/>
                <w:sz w:val="18"/>
                <w:szCs w:val="18"/>
              </w:rPr>
            </w:pPr>
            <w:r>
              <w:rPr>
                <w:rFonts w:ascii="Times New Roman" w:hAnsi="Times New Roman"/>
                <w:color w:val="000000"/>
                <w:sz w:val="18"/>
                <w:szCs w:val="18"/>
              </w:rPr>
              <w:t xml:space="preserve">1. </w:t>
            </w:r>
            <w:r w:rsidRPr="004C30F4">
              <w:rPr>
                <w:rFonts w:ascii="Times New Roman" w:hAnsi="Times New Roman"/>
                <w:color w:val="000000"/>
                <w:sz w:val="18"/>
                <w:szCs w:val="18"/>
              </w:rPr>
              <w:t>Набор с датчиком для измерения артериального давления</w:t>
            </w:r>
          </w:p>
        </w:tc>
        <w:tc>
          <w:tcPr>
            <w:tcW w:w="434" w:type="pct"/>
            <w:vMerge w:val="restart"/>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26.60.12.129-00000093</w:t>
            </w:r>
            <w:r>
              <w:rPr>
                <w:rFonts w:ascii="Times New Roman" w:eastAsia="Times New Roman" w:hAnsi="Times New Roman" w:cs="Times New Roman"/>
                <w:color w:val="000000"/>
                <w:sz w:val="18"/>
                <w:szCs w:val="18"/>
                <w:lang w:eastAsia="ru-RU"/>
              </w:rPr>
              <w:t>*</w:t>
            </w:r>
          </w:p>
        </w:tc>
        <w:tc>
          <w:tcPr>
            <w:tcW w:w="610" w:type="pct"/>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Один одноразовый датчик давления с прозрачной удлинительной линией давления</w:t>
            </w:r>
          </w:p>
        </w:tc>
        <w:tc>
          <w:tcPr>
            <w:tcW w:w="479" w:type="pct"/>
          </w:tcPr>
          <w:p w:rsidR="0009090E" w:rsidRPr="00540FF5"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Соответствие</w:t>
            </w:r>
          </w:p>
        </w:tc>
        <w:tc>
          <w:tcPr>
            <w:tcW w:w="567" w:type="pct"/>
          </w:tcPr>
          <w:p w:rsidR="0009090E" w:rsidRPr="00540FF5"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tcPr>
          <w:p w:rsidR="0009090E" w:rsidRPr="00540FF5"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val="restart"/>
            <w:tcMar>
              <w:top w:w="75" w:type="dxa"/>
              <w:left w:w="75" w:type="dxa"/>
              <w:bottom w:w="75" w:type="dxa"/>
              <w:right w:w="75" w:type="dxa"/>
            </w:tcMar>
          </w:tcPr>
          <w:p w:rsidR="0009090E" w:rsidRPr="00E6788D" w:rsidRDefault="0009090E" w:rsidP="00541D7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w:t>
            </w:r>
          </w:p>
        </w:tc>
        <w:tc>
          <w:tcPr>
            <w:tcW w:w="233" w:type="pct"/>
            <w:vMerge w:val="restart"/>
            <w:tcMar>
              <w:top w:w="75" w:type="dxa"/>
              <w:left w:w="75" w:type="dxa"/>
              <w:bottom w:w="75" w:type="dxa"/>
              <w:right w:w="75" w:type="dxa"/>
            </w:tcMar>
          </w:tcPr>
          <w:p w:rsidR="0009090E" w:rsidRPr="00E6788D" w:rsidRDefault="0009090E" w:rsidP="00541D71">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298" w:type="pct"/>
            <w:vMerge w:val="restart"/>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val="restart"/>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val="restart"/>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val="restart"/>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Для измерения венозного давления, артериального давления и давления в легочной артерии</w:t>
            </w:r>
          </w:p>
        </w:tc>
        <w:tc>
          <w:tcPr>
            <w:tcW w:w="479" w:type="pct"/>
          </w:tcPr>
          <w:p w:rsidR="0009090E" w:rsidRPr="00540FF5"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Соответствие</w:t>
            </w:r>
          </w:p>
        </w:tc>
        <w:tc>
          <w:tcPr>
            <w:tcW w:w="567" w:type="pct"/>
          </w:tcPr>
          <w:p w:rsidR="0009090E" w:rsidRPr="00540FF5"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tcPr>
          <w:p w:rsidR="0009090E" w:rsidRPr="00540FF5"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 линии со стороны пациента фиксирован инфузионный краник с тактильным ощущением щелчка при переключении</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Наличие</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 линии расположен датчик в прозрачном корпусе для сбора и передачи информации в монитор пациента</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Наличие</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Пластичное, цветное устройство с контрастным язычком для удаления пузырьков воздуха, расположенное на корпусе датчика</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Наличие</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Ребристая цветная заглушка на стопорном кранике, интегрированном в корпус датчика</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Наличие</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Встроенный в линию прозрачный элиминатор резонансного выброса</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Наличие</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Максимальная скорость промывки, мл/мин</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 48</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Скорость подачи физиологического раствора, мл/час</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3</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 xml:space="preserve">Прозрачная капельная камера </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Наличие</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Соединение Луер-Лок со стороны пациента</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Наличие</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Разъем с направляющими стрелками со стороны монитора</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Наличие</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Дополнительные заглушки</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Наличие</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r w:rsidR="0009090E" w:rsidRPr="008349B8" w:rsidTr="0009090E">
        <w:tc>
          <w:tcPr>
            <w:tcW w:w="522" w:type="pct"/>
            <w:vMerge/>
            <w:tcMar>
              <w:top w:w="75" w:type="dxa"/>
              <w:left w:w="75" w:type="dxa"/>
              <w:bottom w:w="75" w:type="dxa"/>
              <w:right w:w="75" w:type="dxa"/>
            </w:tcMar>
            <w:vAlign w:val="center"/>
          </w:tcPr>
          <w:p w:rsidR="0009090E" w:rsidRPr="00540FF5"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434" w:type="pct"/>
            <w:vMerge/>
            <w:tcMar>
              <w:top w:w="75" w:type="dxa"/>
              <w:left w:w="75" w:type="dxa"/>
              <w:bottom w:w="75" w:type="dxa"/>
              <w:right w:w="75" w:type="dxa"/>
            </w:tcMar>
            <w:vAlign w:val="center"/>
          </w:tcPr>
          <w:p w:rsidR="0009090E" w:rsidRPr="00E6788D" w:rsidRDefault="0009090E" w:rsidP="00541D71">
            <w:pPr>
              <w:spacing w:after="0" w:line="240" w:lineRule="auto"/>
              <w:rPr>
                <w:rFonts w:ascii="Times New Roman" w:eastAsia="Times New Roman" w:hAnsi="Times New Roman" w:cs="Times New Roman"/>
                <w:color w:val="000000"/>
                <w:sz w:val="18"/>
                <w:szCs w:val="18"/>
                <w:lang w:eastAsia="ru-RU"/>
              </w:rPr>
            </w:pPr>
          </w:p>
        </w:tc>
        <w:tc>
          <w:tcPr>
            <w:tcW w:w="610" w:type="pct"/>
            <w:shd w:val="clear" w:color="000000" w:fill="FFFFFF"/>
          </w:tcPr>
          <w:p w:rsidR="0009090E" w:rsidRPr="00C9520A" w:rsidRDefault="0009090E" w:rsidP="00541D71">
            <w:pPr>
              <w:spacing w:after="0" w:line="240" w:lineRule="auto"/>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Применение при изменчивости частоты сердечных сокращений, повреждениях венозных сосудов, эндокардите, флебите</w:t>
            </w:r>
          </w:p>
        </w:tc>
        <w:tc>
          <w:tcPr>
            <w:tcW w:w="479"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Соответствие</w:t>
            </w:r>
          </w:p>
        </w:tc>
        <w:tc>
          <w:tcPr>
            <w:tcW w:w="567" w:type="pct"/>
          </w:tcPr>
          <w:p w:rsidR="0009090E" w:rsidRDefault="0009090E" w:rsidP="00541D71">
            <w:pPr>
              <w:spacing w:after="0" w:line="240" w:lineRule="auto"/>
              <w:jc w:val="center"/>
              <w:rPr>
                <w:rFonts w:ascii="Times New Roman" w:eastAsia="Times New Roman" w:hAnsi="Times New Roman" w:cs="Times New Roman"/>
                <w:color w:val="000000"/>
                <w:sz w:val="18"/>
                <w:szCs w:val="18"/>
                <w:lang w:eastAsia="ru-RU"/>
              </w:rPr>
            </w:pPr>
          </w:p>
        </w:tc>
        <w:tc>
          <w:tcPr>
            <w:tcW w:w="747" w:type="pct"/>
            <w:shd w:val="clear" w:color="000000" w:fill="FFFFFF"/>
          </w:tcPr>
          <w:p w:rsidR="0009090E" w:rsidRPr="00C9520A" w:rsidRDefault="0009090E" w:rsidP="00541D71">
            <w:pPr>
              <w:spacing w:after="0" w:line="240" w:lineRule="auto"/>
              <w:jc w:val="center"/>
              <w:rPr>
                <w:rFonts w:ascii="Times New Roman" w:eastAsia="Times New Roman" w:hAnsi="Times New Roman" w:cs="Times New Roman"/>
                <w:color w:val="000000"/>
                <w:sz w:val="18"/>
                <w:szCs w:val="18"/>
                <w:lang w:eastAsia="ru-RU"/>
              </w:rPr>
            </w:pPr>
            <w:r w:rsidRPr="004C30F4">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c>
          <w:tcPr>
            <w:tcW w:w="386"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33"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c>
          <w:tcPr>
            <w:tcW w:w="298"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13" w:type="pct"/>
            <w:vMerge/>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8" w:type="pct"/>
            <w:vMerge/>
            <w:tcMar>
              <w:top w:w="75" w:type="dxa"/>
              <w:left w:w="75" w:type="dxa"/>
              <w:bottom w:w="75" w:type="dxa"/>
              <w:right w:w="75" w:type="dxa"/>
            </w:tcMar>
            <w:vAlign w:val="center"/>
          </w:tcPr>
          <w:p w:rsidR="0009090E" w:rsidRPr="008349B8" w:rsidRDefault="0009090E" w:rsidP="00541D71">
            <w:pPr>
              <w:spacing w:after="0" w:line="240" w:lineRule="auto"/>
              <w:rPr>
                <w:rFonts w:ascii="Times New Roman" w:eastAsia="Times New Roman" w:hAnsi="Times New Roman" w:cs="Times New Roman"/>
                <w:color w:val="000000"/>
                <w:sz w:val="20"/>
                <w:szCs w:val="20"/>
                <w:lang w:eastAsia="ru-RU"/>
              </w:rPr>
            </w:pPr>
          </w:p>
        </w:tc>
        <w:tc>
          <w:tcPr>
            <w:tcW w:w="254" w:type="pct"/>
            <w:vMerge/>
            <w:tcMar>
              <w:top w:w="75" w:type="dxa"/>
              <w:left w:w="75" w:type="dxa"/>
              <w:bottom w:w="75" w:type="dxa"/>
              <w:right w:w="75" w:type="dxa"/>
            </w:tcMar>
            <w:vAlign w:val="center"/>
          </w:tcPr>
          <w:p w:rsidR="0009090E" w:rsidRPr="008349B8" w:rsidRDefault="0009090E" w:rsidP="00541D71">
            <w:pPr>
              <w:spacing w:after="0" w:line="240" w:lineRule="auto"/>
              <w:jc w:val="center"/>
              <w:rPr>
                <w:rFonts w:ascii="Times New Roman" w:eastAsia="Times New Roman" w:hAnsi="Times New Roman" w:cs="Times New Roman"/>
                <w:color w:val="000000"/>
                <w:sz w:val="20"/>
                <w:szCs w:val="20"/>
                <w:lang w:eastAsia="ru-RU"/>
              </w:rPr>
            </w:pPr>
          </w:p>
        </w:tc>
      </w:tr>
    </w:tbl>
    <w:p w:rsidR="0009090E" w:rsidRPr="00446097" w:rsidRDefault="0009090E" w:rsidP="0009090E">
      <w:pPr>
        <w:tabs>
          <w:tab w:val="left" w:pos="4740"/>
        </w:tabs>
        <w:rPr>
          <w:rFonts w:ascii="Times New Roman" w:hAnsi="Times New Roman" w:cs="Times New Roman"/>
          <w:sz w:val="18"/>
          <w:szCs w:val="18"/>
        </w:rPr>
      </w:pPr>
    </w:p>
    <w:p w:rsidR="0009090E" w:rsidRDefault="0009090E" w:rsidP="0009090E">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7267E7">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7267E7">
        <w:rPr>
          <w:rFonts w:ascii="Roboto" w:hAnsi="Roboto" w:cs="Roboto"/>
          <w:color w:val="333333"/>
          <w:highlight w:val="white"/>
        </w:rPr>
        <w:t xml:space="preserve"> </w:t>
      </w:r>
      <w:r>
        <w:rPr>
          <w:rFonts w:ascii="Calibri" w:hAnsi="Calibri" w:cs="Calibri"/>
          <w:color w:val="333333"/>
          <w:highlight w:val="white"/>
        </w:rPr>
        <w:t>России</w:t>
      </w:r>
      <w:r w:rsidRPr="007267E7">
        <w:rPr>
          <w:rFonts w:ascii="Roboto" w:hAnsi="Roboto" w:cs="Roboto"/>
          <w:color w:val="333333"/>
          <w:highlight w:val="white"/>
        </w:rPr>
        <w:t xml:space="preserve"> </w:t>
      </w:r>
      <w:r>
        <w:rPr>
          <w:rFonts w:ascii="Calibri" w:hAnsi="Calibri" w:cs="Calibri"/>
          <w:color w:val="333333"/>
          <w:highlight w:val="white"/>
        </w:rPr>
        <w:t>от</w:t>
      </w:r>
      <w:r w:rsidRPr="007267E7">
        <w:rPr>
          <w:rFonts w:ascii="Roboto" w:hAnsi="Roboto" w:cs="Roboto"/>
          <w:color w:val="333333"/>
          <w:highlight w:val="white"/>
        </w:rPr>
        <w:t xml:space="preserve"> 24 </w:t>
      </w:r>
      <w:r>
        <w:rPr>
          <w:rFonts w:ascii="Calibri" w:hAnsi="Calibri" w:cs="Calibri"/>
          <w:color w:val="333333"/>
          <w:highlight w:val="white"/>
        </w:rPr>
        <w:t>января</w:t>
      </w:r>
      <w:r w:rsidRPr="007267E7">
        <w:rPr>
          <w:rFonts w:ascii="Roboto" w:hAnsi="Roboto" w:cs="Roboto"/>
          <w:color w:val="333333"/>
          <w:highlight w:val="white"/>
        </w:rPr>
        <w:t xml:space="preserve"> 2022 </w:t>
      </w:r>
      <w:r>
        <w:rPr>
          <w:rFonts w:ascii="Calibri" w:hAnsi="Calibri" w:cs="Calibri"/>
          <w:color w:val="333333"/>
          <w:highlight w:val="white"/>
        </w:rPr>
        <w:t>г</w:t>
      </w:r>
      <w:r w:rsidRPr="007267E7">
        <w:rPr>
          <w:rFonts w:ascii="Roboto" w:hAnsi="Roboto" w:cs="Roboto"/>
          <w:color w:val="333333"/>
          <w:highlight w:val="white"/>
        </w:rPr>
        <w:t xml:space="preserve">. </w:t>
      </w:r>
      <w:r>
        <w:rPr>
          <w:rFonts w:ascii="Roboto" w:hAnsi="Roboto" w:cs="Roboto"/>
          <w:color w:val="333333"/>
          <w:highlight w:val="white"/>
          <w:lang w:val="en-US"/>
        </w:rPr>
        <w:t>N</w:t>
      </w:r>
      <w:r w:rsidRPr="007267E7">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09090E">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56B" w:rsidRDefault="002E656B">
      <w:pPr>
        <w:spacing w:after="0" w:line="240" w:lineRule="auto"/>
      </w:pPr>
      <w:r>
        <w:separator/>
      </w:r>
    </w:p>
  </w:endnote>
  <w:endnote w:type="continuationSeparator" w:id="0">
    <w:p w:rsidR="002E656B" w:rsidRDefault="002E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6E3E" w:rsidRDefault="00B86E3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86E3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86E3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86E3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86E3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9090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86E3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9090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56B" w:rsidRDefault="002E656B">
      <w:pPr>
        <w:spacing w:after="0" w:line="240" w:lineRule="auto"/>
      </w:pPr>
      <w:r>
        <w:separator/>
      </w:r>
    </w:p>
  </w:footnote>
  <w:footnote w:type="continuationSeparator" w:id="0">
    <w:p w:rsidR="002E656B" w:rsidRDefault="002E656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6E3E" w:rsidRDefault="00B86E3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6E3E" w:rsidRDefault="00B86E3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86E3E" w:rsidRDefault="00B86E3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090E"/>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56B"/>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6E3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849DF-4BD7-42E7-B98A-FDF6FE60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7345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2026-04-02T05:51:00Z</dcterms:created>
  <dcterms:modified xsi:type="dcterms:W3CDTF">2026-04-02T05:51:00Z</dcterms:modified>
</cp:coreProperties>
</file>