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27.03.2026 № 05-07/603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03.04.2026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C722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r w:rsidR="004A03F5">
              <w:rPr>
                <w:rFonts w:ascii="Times New Roman" w:hAnsi="Times New Roman" w:cs="Times New Roman"/>
                <w:noProof/>
                <w:sz w:val="24"/>
                <w:szCs w:val="24"/>
              </w:rPr>
              <w:t>, преимущесто инвалидам</w:t>
            </w:r>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ook w:val="04A0" w:firstRow="1" w:lastRow="0" w:firstColumn="1" w:lastColumn="0" w:noHBand="0" w:noVBand="1"/>
      </w:tblPr>
      <w:tblGrid>
        <w:gridCol w:w="412"/>
        <w:gridCol w:w="1352"/>
        <w:gridCol w:w="1232"/>
        <w:gridCol w:w="1577"/>
        <w:gridCol w:w="1441"/>
        <w:gridCol w:w="2005"/>
        <w:gridCol w:w="1441"/>
        <w:gridCol w:w="1661"/>
        <w:gridCol w:w="1032"/>
        <w:gridCol w:w="1433"/>
        <w:gridCol w:w="753"/>
        <w:gridCol w:w="870"/>
        <w:gridCol w:w="740"/>
      </w:tblGrid>
      <w:tr w:rsidR="004A03F5" w:rsidRPr="004A03F5" w:rsidTr="004A03F5">
        <w:trPr>
          <w:trHeight w:val="765"/>
        </w:trPr>
        <w:tc>
          <w:tcPr>
            <w:tcW w:w="1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пп</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Наименование товара, работы, услуги</w:t>
            </w:r>
          </w:p>
        </w:tc>
        <w:tc>
          <w:tcPr>
            <w:tcW w:w="3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Код позиции</w:t>
            </w:r>
          </w:p>
        </w:tc>
        <w:tc>
          <w:tcPr>
            <w:tcW w:w="2250" w:type="pct"/>
            <w:gridSpan w:val="4"/>
            <w:tcBorders>
              <w:top w:val="single" w:sz="4" w:space="0" w:color="auto"/>
              <w:left w:val="nil"/>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Характеристики товара, работы, услуги</w:t>
            </w:r>
          </w:p>
        </w:tc>
        <w:tc>
          <w:tcPr>
            <w:tcW w:w="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Количество(объем работы, услуги)</w:t>
            </w:r>
          </w:p>
        </w:tc>
        <w:tc>
          <w:tcPr>
            <w:tcW w:w="3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Единица измерения</w:t>
            </w:r>
          </w:p>
        </w:tc>
        <w:tc>
          <w:tcPr>
            <w:tcW w:w="449" w:type="pct"/>
            <w:tcBorders>
              <w:top w:val="single" w:sz="4" w:space="0" w:color="auto"/>
              <w:left w:val="nil"/>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Страна</w:t>
            </w:r>
            <w:r>
              <w:rPr>
                <w:rFonts w:ascii="Times New Roman" w:eastAsia="Times New Roman" w:hAnsi="Times New Roman" w:cs="Times New Roman"/>
                <w:color w:val="000000"/>
                <w:sz w:val="20"/>
                <w:szCs w:val="20"/>
                <w:lang w:eastAsia="ru-RU"/>
              </w:rPr>
              <w:t xml:space="preserve"> </w:t>
            </w:r>
            <w:r w:rsidRPr="004A03F5">
              <w:rPr>
                <w:rFonts w:ascii="Times New Roman" w:eastAsia="Times New Roman" w:hAnsi="Times New Roman" w:cs="Times New Roman"/>
                <w:color w:val="000000"/>
                <w:sz w:val="20"/>
                <w:szCs w:val="20"/>
                <w:lang w:eastAsia="ru-RU"/>
              </w:rPr>
              <w:t>происхождения Товара</w:t>
            </w:r>
          </w:p>
        </w:tc>
        <w:tc>
          <w:tcPr>
            <w:tcW w:w="236" w:type="pct"/>
            <w:tcBorders>
              <w:top w:val="single" w:sz="4" w:space="0" w:color="auto"/>
              <w:left w:val="nil"/>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Ставка НДС%</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Цена за единицу без НДС</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Сумма без НДС</w:t>
            </w:r>
          </w:p>
        </w:tc>
      </w:tr>
      <w:tr w:rsidR="004A03F5" w:rsidRPr="004A03F5" w:rsidTr="004A03F5">
        <w:trPr>
          <w:trHeight w:val="1020"/>
        </w:trPr>
        <w:tc>
          <w:tcPr>
            <w:tcW w:w="129" w:type="pct"/>
            <w:vMerge/>
            <w:tcBorders>
              <w:top w:val="single" w:sz="4" w:space="0" w:color="auto"/>
              <w:left w:val="single" w:sz="4" w:space="0" w:color="auto"/>
              <w:bottom w:val="single" w:sz="4" w:space="0" w:color="auto"/>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94" w:type="pct"/>
            <w:tcBorders>
              <w:top w:val="nil"/>
              <w:left w:val="nil"/>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Наименование характеристики</w:t>
            </w:r>
          </w:p>
        </w:tc>
        <w:tc>
          <w:tcPr>
            <w:tcW w:w="452" w:type="pct"/>
            <w:tcBorders>
              <w:top w:val="nil"/>
              <w:left w:val="nil"/>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w:t>
            </w:r>
          </w:p>
        </w:tc>
        <w:tc>
          <w:tcPr>
            <w:tcW w:w="629" w:type="pct"/>
            <w:tcBorders>
              <w:top w:val="nil"/>
              <w:left w:val="nil"/>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Единица измерения характеристики</w:t>
            </w:r>
          </w:p>
        </w:tc>
        <w:tc>
          <w:tcPr>
            <w:tcW w:w="675" w:type="pct"/>
            <w:tcBorders>
              <w:top w:val="nil"/>
              <w:left w:val="nil"/>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Инструкция по заполнению характеристик в заявке</w:t>
            </w:r>
          </w:p>
        </w:tc>
        <w:tc>
          <w:tcPr>
            <w:tcW w:w="297" w:type="pct"/>
            <w:vMerge/>
            <w:tcBorders>
              <w:top w:val="single" w:sz="4" w:space="0" w:color="auto"/>
              <w:left w:val="single" w:sz="4" w:space="0" w:color="auto"/>
              <w:bottom w:val="single" w:sz="4" w:space="0" w:color="auto"/>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49" w:type="pct"/>
            <w:tcBorders>
              <w:top w:val="nil"/>
              <w:left w:val="nil"/>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single" w:sz="4" w:space="0" w:color="auto"/>
              <w:right w:val="single" w:sz="4" w:space="0" w:color="auto"/>
            </w:tcBorders>
            <w:shd w:val="clear" w:color="auto" w:fill="auto"/>
            <w:vAlign w:val="center"/>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1</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Насос инфузионный эластомерный</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32.50.50.190-00002769*</w:t>
            </w:r>
          </w:p>
        </w:tc>
        <w:tc>
          <w:tcPr>
            <w:tcW w:w="494"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Болюс</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Нет</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90</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штука</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Защита от УФ-лучей</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Да</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 фиксирующих устройств</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Да</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Номинальный объем резервуара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250  и  ≤ 299</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Кубический сантиметр;^миллилитр</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B0F0"/>
                <w:sz w:val="20"/>
                <w:szCs w:val="20"/>
                <w:lang w:eastAsia="ru-RU"/>
              </w:rPr>
            </w:pPr>
            <w:r w:rsidRPr="004A03F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78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Путь введения лекарственного препарата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Подкожный</w:t>
            </w:r>
          </w:p>
        </w:tc>
        <w:tc>
          <w:tcPr>
            <w:tcW w:w="62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val="restart"/>
            <w:tcBorders>
              <w:top w:val="nil"/>
              <w:left w:val="single" w:sz="4" w:space="0" w:color="auto"/>
              <w:bottom w:val="single" w:sz="4" w:space="0" w:color="000000"/>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sz w:val="20"/>
                <w:szCs w:val="20"/>
                <w:lang w:eastAsia="ru-RU"/>
              </w:rPr>
            </w:pPr>
            <w:r w:rsidRPr="004A03F5">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Внутривенный </w:t>
            </w:r>
          </w:p>
        </w:tc>
        <w:tc>
          <w:tcPr>
            <w:tcW w:w="629"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Эпидуральный</w:t>
            </w:r>
          </w:p>
        </w:tc>
        <w:tc>
          <w:tcPr>
            <w:tcW w:w="629"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Регулирование скорости инфузии</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Да</w:t>
            </w:r>
          </w:p>
        </w:tc>
        <w:tc>
          <w:tcPr>
            <w:tcW w:w="629" w:type="pct"/>
            <w:tcBorders>
              <w:top w:val="single" w:sz="4" w:space="0" w:color="auto"/>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single" w:sz="4" w:space="0" w:color="auto"/>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Система блокировки болюса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Нет</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vMerge w:val="restart"/>
            <w:tcBorders>
              <w:top w:val="nil"/>
              <w:left w:val="single" w:sz="4" w:space="0" w:color="auto"/>
              <w:bottom w:val="single" w:sz="4" w:space="0" w:color="000000"/>
              <w:right w:val="single" w:sz="4" w:space="0" w:color="auto"/>
            </w:tcBorders>
            <w:shd w:val="clear" w:color="auto" w:fill="auto"/>
            <w:vAlign w:val="bottom"/>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Скорость инфузии, мл/час</w:t>
            </w: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2</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val="restart"/>
            <w:tcBorders>
              <w:top w:val="nil"/>
              <w:left w:val="single" w:sz="4" w:space="0" w:color="auto"/>
              <w:bottom w:val="single" w:sz="4" w:space="0" w:color="000000"/>
              <w:right w:val="single" w:sz="4" w:space="0" w:color="auto"/>
            </w:tcBorders>
            <w:shd w:val="clear" w:color="auto" w:fill="auto"/>
            <w:vAlign w:val="bottom"/>
            <w:hideMark/>
          </w:tcPr>
          <w:p w:rsidR="004A03F5" w:rsidRPr="004A03F5" w:rsidRDefault="004A03F5" w:rsidP="004A03F5">
            <w:pPr>
              <w:spacing w:after="0" w:line="240" w:lineRule="auto"/>
              <w:jc w:val="center"/>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4</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6</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8</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10</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12</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14</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82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Скорость задаётся на одном специальном регуляторе, который включает в себя все указанные варианты режимов потока (Для обеспечения необходимой скорости с учётом схемы проводимой инфузионной терапии)</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single" w:sz="4" w:space="0" w:color="auto"/>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05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FF0000"/>
                <w:lang w:eastAsia="ru-RU"/>
              </w:rPr>
            </w:pPr>
            <w:r w:rsidRPr="004A03F5">
              <w:rPr>
                <w:rFonts w:ascii="Calibri" w:eastAsia="Times New Roman" w:hAnsi="Calibri" w:cs="Times New Roman"/>
                <w:color w:val="FF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Скорость задаётся специальным съёмным ключом (Съёмный ключ хранится у специалиста, что не допускает самостоятельную регуляцию потока пациентом.)</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Противоударный корпус (для защиты от механических повреждений)</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29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 корпусе нанесена контрастная шкала (для контроля заполнения, хода инфузии и расхода препарата)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8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Заполнение помпы лекарственным средством через порт (Обеспечивает безопасное и легкое наполнение, минимизацию потери препарата)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Соответствие</w:t>
            </w:r>
          </w:p>
        </w:tc>
        <w:tc>
          <w:tcPr>
            <w:tcW w:w="629"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nil"/>
              <w:bottom w:val="nil"/>
              <w:right w:val="nil"/>
            </w:tcBorders>
            <w:shd w:val="clear" w:color="auto" w:fill="auto"/>
            <w:noWrap/>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324"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82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Порт для заполнения устройства имеет соединение типа Луер-лок, снабжён защитной крышкой (Обеспечивает безопасное и легкое наполнение, минимизацию потери препарата. Исключение риска механического повреждения)</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31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Свободно перемещаемый зажим на линии и универсальный коннектор Luer на конце линии (для перекрытия потока жидкости и надежного присоединения эпидуральных катетеров, ПВК, ЦВК)</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nil"/>
              <w:bottom w:val="nil"/>
              <w:right w:val="nil"/>
            </w:tcBorders>
            <w:shd w:val="clear" w:color="auto" w:fill="auto"/>
            <w:noWrap/>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324"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05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 инфузионной линии располагается несъёмный инфузионный фильтр (Для снижения риска развития эмболических осложнений, флебитов и инфекционных осложнений.)</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1</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штука</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B0F0"/>
                <w:sz w:val="20"/>
                <w:szCs w:val="20"/>
                <w:lang w:eastAsia="ru-RU"/>
              </w:rPr>
            </w:pPr>
            <w:r w:rsidRPr="004A03F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Размер пор фильтра 1,2 мкм (Для улавливания пузырьков воздуха и механических частиц)</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31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Помпа может применяться в химиотерапии для непрерывной внутривенной инфузии, в том числе в схемах с препаратами, содержащими 5-фторурацил</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Соответствие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Стерильно</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Соответствие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single" w:sz="4" w:space="0" w:color="auto"/>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jc w:val="right"/>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2</w:t>
            </w:r>
          </w:p>
        </w:tc>
        <w:tc>
          <w:tcPr>
            <w:tcW w:w="424"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Насос инфузионный эластомерный</w:t>
            </w:r>
          </w:p>
        </w:tc>
        <w:tc>
          <w:tcPr>
            <w:tcW w:w="386"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32.50.50.190-00002769*</w:t>
            </w:r>
          </w:p>
        </w:tc>
        <w:tc>
          <w:tcPr>
            <w:tcW w:w="494"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Болюс</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Нет</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350</w:t>
            </w:r>
          </w:p>
        </w:tc>
        <w:tc>
          <w:tcPr>
            <w:tcW w:w="324"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штука</w:t>
            </w:r>
          </w:p>
        </w:tc>
        <w:tc>
          <w:tcPr>
            <w:tcW w:w="449"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nil"/>
            </w:tcBorders>
            <w:shd w:val="clear" w:color="auto" w:fill="auto"/>
            <w:noWrap/>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Защита от УФ-лучей</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Да</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 фиксирующих устройств</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Да</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Номинальный объем резервуара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250  и  ≤ 299</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Кубический сантиметр;^миллилитр</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B0F0"/>
                <w:sz w:val="20"/>
                <w:szCs w:val="20"/>
                <w:lang w:eastAsia="ru-RU"/>
              </w:rPr>
            </w:pPr>
            <w:r w:rsidRPr="004A03F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78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Путь введения лекарственного препарата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Подкожный</w:t>
            </w:r>
          </w:p>
        </w:tc>
        <w:tc>
          <w:tcPr>
            <w:tcW w:w="62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val="restart"/>
            <w:tcBorders>
              <w:top w:val="nil"/>
              <w:left w:val="single" w:sz="4" w:space="0" w:color="auto"/>
              <w:bottom w:val="single" w:sz="4" w:space="0" w:color="000000"/>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sz w:val="20"/>
                <w:szCs w:val="20"/>
                <w:lang w:eastAsia="ru-RU"/>
              </w:rPr>
            </w:pPr>
            <w:r w:rsidRPr="004A03F5">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Внутривенный </w:t>
            </w:r>
          </w:p>
        </w:tc>
        <w:tc>
          <w:tcPr>
            <w:tcW w:w="629"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Эпидуральный</w:t>
            </w:r>
          </w:p>
        </w:tc>
        <w:tc>
          <w:tcPr>
            <w:tcW w:w="629"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Регулирование скорости инфузии</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Нет</w:t>
            </w:r>
          </w:p>
        </w:tc>
        <w:tc>
          <w:tcPr>
            <w:tcW w:w="629" w:type="pct"/>
            <w:tcBorders>
              <w:top w:val="single" w:sz="4" w:space="0" w:color="auto"/>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single" w:sz="4" w:space="0" w:color="auto"/>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Система блокировки болюса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Нет</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Скорость инфузии, мл/час</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10</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54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При заполнении до номинального объема расчетное время инфузии составляет  (в соответствии с режимами введения препаратов)</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25</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Час</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B0F0"/>
                <w:sz w:val="20"/>
                <w:szCs w:val="20"/>
                <w:lang w:eastAsia="ru-RU"/>
              </w:rPr>
            </w:pPr>
            <w:r w:rsidRPr="004A03F5">
              <w:rPr>
                <w:rFonts w:ascii="Times New Roman" w:eastAsia="Times New Roman" w:hAnsi="Times New Roman" w:cs="Times New Roman"/>
                <w:color w:val="00B0F0"/>
                <w:sz w:val="20"/>
                <w:szCs w:val="20"/>
                <w:lang w:eastAsia="ru-RU"/>
              </w:rPr>
              <w:t>Участник закупки указывает в заявке конкретное значение характеристики</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29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 корпусе нанесена контрастная шкала (для контроля заполнения, хода инфузии и расхода препарата)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Противоударный корпус (для защиты от механических повреждений)</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8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Заполнение помпы лекарственным средством через порт (Обеспечивает безопасное и легкое наполнение, минимизацию потери препарата)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Соответствие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82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Порт для заполнения устройства имеет соединение типа Луер-лок, снабжён защитной крышкой (Обеспечивает безопасное и легкое наполнение, минимизацию потери препарата. Исключение риска механического повреждения)</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231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Свободно перемещаемый зажим на линии и универсальный коннектор Luer на конце линии (для перекрытия потока жидкости и надежного присоединения эпидуральных катетеров, ПВК, ЦВК)</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205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 инфузионной линии располагается несъёмный инфузионный фильтр (Для снижения риска развития эмболических осложнений, флебитов и инфекционных осложнений.)</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Размер пор фильтра 1,2 мкм (Для улавливания пузырьков воздуха и механических частиц)</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231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Помпа может применяться в химиотерапии для непрерывной внутривенной инфузии, в том числе в схемах с препаратами, содержащими 5-фторурацил</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Соответствие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Стерильно</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Соответствие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single" w:sz="4" w:space="0" w:color="auto"/>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3</w:t>
            </w:r>
          </w:p>
        </w:tc>
        <w:tc>
          <w:tcPr>
            <w:tcW w:w="424"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Насос инфузионный эластомерный</w:t>
            </w:r>
          </w:p>
        </w:tc>
        <w:tc>
          <w:tcPr>
            <w:tcW w:w="386"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32.50.50.190-00002769*</w:t>
            </w:r>
          </w:p>
        </w:tc>
        <w:tc>
          <w:tcPr>
            <w:tcW w:w="494"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Болюс</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Нет</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jc w:val="right"/>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1080</w:t>
            </w:r>
          </w:p>
        </w:tc>
        <w:tc>
          <w:tcPr>
            <w:tcW w:w="324"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штука</w:t>
            </w:r>
          </w:p>
        </w:tc>
        <w:tc>
          <w:tcPr>
            <w:tcW w:w="449"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single" w:sz="4" w:space="0" w:color="auto"/>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Защита от УФ-лучей</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Да</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 фиксирующих устройств</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Да</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Номинальный объем резервуара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250  и  ≤ 299</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Кубический сантиметр;^миллилитр</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70C0"/>
                <w:sz w:val="20"/>
                <w:szCs w:val="20"/>
                <w:lang w:eastAsia="ru-RU"/>
              </w:rPr>
            </w:pPr>
            <w:r w:rsidRPr="004A03F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78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Путь введения лекарственного препарата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Подкожный</w:t>
            </w:r>
          </w:p>
        </w:tc>
        <w:tc>
          <w:tcPr>
            <w:tcW w:w="62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val="restart"/>
            <w:tcBorders>
              <w:top w:val="nil"/>
              <w:left w:val="single" w:sz="4" w:space="0" w:color="auto"/>
              <w:bottom w:val="single" w:sz="4" w:space="0" w:color="000000"/>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sz w:val="20"/>
                <w:szCs w:val="20"/>
                <w:lang w:eastAsia="ru-RU"/>
              </w:rPr>
            </w:pPr>
            <w:r w:rsidRPr="004A03F5">
              <w:rPr>
                <w:rFonts w:ascii="Times New Roman" w:eastAsia="Times New Roman" w:hAnsi="Times New Roman" w:cs="Times New Roman"/>
                <w:sz w:val="20"/>
                <w:szCs w:val="20"/>
                <w:lang w:eastAsia="ru-RU"/>
              </w:rPr>
              <w:t>Значение характеристики не может изменяться участником закупки</w:t>
            </w: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Внутривенный </w:t>
            </w:r>
          </w:p>
        </w:tc>
        <w:tc>
          <w:tcPr>
            <w:tcW w:w="629"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3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52"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Эпидуральный</w:t>
            </w:r>
          </w:p>
        </w:tc>
        <w:tc>
          <w:tcPr>
            <w:tcW w:w="629"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vMerge/>
            <w:tcBorders>
              <w:top w:val="nil"/>
              <w:left w:val="single" w:sz="4" w:space="0" w:color="auto"/>
              <w:bottom w:val="single" w:sz="4" w:space="0" w:color="000000"/>
              <w:right w:val="single" w:sz="4" w:space="0" w:color="auto"/>
            </w:tcBorders>
            <w:vAlign w:val="center"/>
            <w:hideMark/>
          </w:tcPr>
          <w:p w:rsidR="004A03F5" w:rsidRPr="004A03F5" w:rsidRDefault="004A03F5" w:rsidP="004A03F5">
            <w:pPr>
              <w:spacing w:after="0" w:line="240" w:lineRule="auto"/>
              <w:rPr>
                <w:rFonts w:ascii="Times New Roman" w:eastAsia="Times New Roman" w:hAnsi="Times New Roman" w:cs="Times New Roman"/>
                <w:sz w:val="20"/>
                <w:szCs w:val="20"/>
                <w:lang w:eastAsia="ru-RU"/>
              </w:rPr>
            </w:pPr>
          </w:p>
        </w:tc>
        <w:tc>
          <w:tcPr>
            <w:tcW w:w="297"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Регулирование скорости инфузии</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Нет</w:t>
            </w:r>
          </w:p>
        </w:tc>
        <w:tc>
          <w:tcPr>
            <w:tcW w:w="629" w:type="pct"/>
            <w:tcBorders>
              <w:top w:val="single" w:sz="4" w:space="0" w:color="auto"/>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single" w:sz="4" w:space="0" w:color="auto"/>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Система блокировки болюса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Нет</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Скорость инфузии, мл/час</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5</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54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При заполнении до номинального объема расчетное время инфузии составляет  (в соответствии с режимами введения препаратов)</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50</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Час</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70C0"/>
                <w:sz w:val="20"/>
                <w:szCs w:val="20"/>
                <w:lang w:eastAsia="ru-RU"/>
              </w:rPr>
            </w:pPr>
            <w:r w:rsidRPr="004A03F5">
              <w:rPr>
                <w:rFonts w:ascii="Times New Roman" w:eastAsia="Times New Roman" w:hAnsi="Times New Roman" w:cs="Times New Roman"/>
                <w:color w:val="0070C0"/>
                <w:sz w:val="20"/>
                <w:szCs w:val="20"/>
                <w:lang w:eastAsia="ru-RU"/>
              </w:rPr>
              <w:t>Участник закупки указывает в заявке конкретное значение характеристики</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29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 корпусе нанесена контрастная шкала (для контроля заполнения, хода инфузии и расхода препарата)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Противоударный корпус (для защиты от механических повреждений)</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80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Заполнение помпы лекарственным средством через порт (Обеспечивает безопасное и легкое наполнение, минимизацию потери препарата)</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Соответствие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82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Порт для заполнения устройства имеет соединение типа Луер-лок, снабжён защитной крышкой (Обеспечивает безопасное и легкое наполнение, минимизацию потери препарата. Исключение риска механического повреждения)</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31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Свободно перемещаемый зажим на линии и универсальный коннектор Luer на конце линии (для перекрытия потока жидкости и надежного присоединения эпидуральных катетеров, ПВК, ЦВК)</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05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 инфузионной линии располагается несъёмный инфузионный фильтр (Для снижения риска развития эмболических осложнений, флебитов и инфекционных осложнений.)</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1035"/>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Размер пор фильтра 1,2 мкм (Для улавливания пузырьков воздуха и механических частиц)</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Наличие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r w:rsidR="004A03F5" w:rsidRPr="004A03F5" w:rsidTr="004A03F5">
        <w:trPr>
          <w:trHeight w:val="2310"/>
        </w:trPr>
        <w:tc>
          <w:tcPr>
            <w:tcW w:w="129" w:type="pct"/>
            <w:tcBorders>
              <w:top w:val="nil"/>
              <w:left w:val="single" w:sz="4" w:space="0" w:color="auto"/>
              <w:bottom w:val="nil"/>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8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Помпа может применяться в химиотерапии для непрерывной внутривенной инфузии, в том числе в схемах с препаратами, содержащими 5-фторурацил</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Соответствие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324"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449"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6"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73"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232" w:type="pct"/>
            <w:tcBorders>
              <w:top w:val="nil"/>
              <w:left w:val="nil"/>
              <w:bottom w:val="nil"/>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r>
      <w:tr w:rsidR="004A03F5" w:rsidRPr="004A03F5" w:rsidTr="004A03F5">
        <w:trPr>
          <w:trHeight w:val="1035"/>
        </w:trPr>
        <w:tc>
          <w:tcPr>
            <w:tcW w:w="129" w:type="pct"/>
            <w:tcBorders>
              <w:top w:val="nil"/>
              <w:left w:val="single" w:sz="4" w:space="0" w:color="auto"/>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24"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86"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94" w:type="pct"/>
            <w:tcBorders>
              <w:top w:val="nil"/>
              <w:left w:val="single" w:sz="4" w:space="0" w:color="auto"/>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Стерильно</w:t>
            </w:r>
          </w:p>
        </w:tc>
        <w:tc>
          <w:tcPr>
            <w:tcW w:w="452"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Соответствие</w:t>
            </w:r>
          </w:p>
        </w:tc>
        <w:tc>
          <w:tcPr>
            <w:tcW w:w="629"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w:t>
            </w:r>
          </w:p>
        </w:tc>
        <w:tc>
          <w:tcPr>
            <w:tcW w:w="675" w:type="pct"/>
            <w:tcBorders>
              <w:top w:val="nil"/>
              <w:left w:val="nil"/>
              <w:bottom w:val="single" w:sz="4" w:space="0" w:color="auto"/>
              <w:right w:val="single" w:sz="4" w:space="0" w:color="auto"/>
            </w:tcBorders>
            <w:shd w:val="clear" w:color="auto" w:fill="auto"/>
            <w:vAlign w:val="bottom"/>
            <w:hideMark/>
          </w:tcPr>
          <w:p w:rsidR="004A03F5" w:rsidRPr="004A03F5" w:rsidRDefault="004A03F5" w:rsidP="004A03F5">
            <w:pPr>
              <w:spacing w:after="0" w:line="240" w:lineRule="auto"/>
              <w:rPr>
                <w:rFonts w:ascii="Times New Roman" w:eastAsia="Times New Roman" w:hAnsi="Times New Roman" w:cs="Times New Roman"/>
                <w:color w:val="000000"/>
                <w:sz w:val="20"/>
                <w:szCs w:val="20"/>
                <w:lang w:eastAsia="ru-RU"/>
              </w:rPr>
            </w:pPr>
            <w:r w:rsidRPr="004A03F5">
              <w:rPr>
                <w:rFonts w:ascii="Times New Roman" w:eastAsia="Times New Roman" w:hAnsi="Times New Roman" w:cs="Times New Roman"/>
                <w:color w:val="000000"/>
                <w:sz w:val="20"/>
                <w:szCs w:val="20"/>
                <w:lang w:eastAsia="ru-RU"/>
              </w:rPr>
              <w:t xml:space="preserve">Значение характеристики не может изменяться участником закупки </w:t>
            </w:r>
          </w:p>
        </w:tc>
        <w:tc>
          <w:tcPr>
            <w:tcW w:w="297" w:type="pct"/>
            <w:tcBorders>
              <w:top w:val="nil"/>
              <w:left w:val="single" w:sz="4" w:space="0" w:color="auto"/>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324"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449"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6"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73"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c>
          <w:tcPr>
            <w:tcW w:w="232" w:type="pct"/>
            <w:tcBorders>
              <w:top w:val="nil"/>
              <w:left w:val="nil"/>
              <w:bottom w:val="single" w:sz="4" w:space="0" w:color="auto"/>
              <w:right w:val="single" w:sz="4" w:space="0" w:color="auto"/>
            </w:tcBorders>
            <w:shd w:val="clear" w:color="auto" w:fill="auto"/>
            <w:noWrap/>
            <w:vAlign w:val="bottom"/>
            <w:hideMark/>
          </w:tcPr>
          <w:p w:rsidR="004A03F5" w:rsidRPr="004A03F5" w:rsidRDefault="004A03F5" w:rsidP="004A03F5">
            <w:pPr>
              <w:spacing w:after="0" w:line="240" w:lineRule="auto"/>
              <w:rPr>
                <w:rFonts w:ascii="Calibri" w:eastAsia="Times New Roman" w:hAnsi="Calibri" w:cs="Times New Roman"/>
                <w:color w:val="000000"/>
                <w:lang w:eastAsia="ru-RU"/>
              </w:rPr>
            </w:pPr>
            <w:r w:rsidRPr="004A03F5">
              <w:rPr>
                <w:rFonts w:ascii="Calibri" w:eastAsia="Times New Roman" w:hAnsi="Calibri" w:cs="Times New Roman"/>
                <w:color w:val="000000"/>
                <w:lang w:eastAsia="ru-RU"/>
              </w:rPr>
              <w:t> </w:t>
            </w:r>
          </w:p>
        </w:tc>
      </w:tr>
    </w:tbl>
    <w:p w:rsidR="004A03F5" w:rsidRDefault="004A03F5" w:rsidP="004A03F5">
      <w:pPr>
        <w:autoSpaceDE w:val="0"/>
        <w:autoSpaceDN w:val="0"/>
        <w:adjustRightInd w:val="0"/>
        <w:rPr>
          <w:rFonts w:ascii="Times New Roman CYR" w:hAnsi="Times New Roman CYR" w:cs="Times New Roman CYR"/>
          <w:b/>
          <w:bCs/>
        </w:rPr>
      </w:pPr>
      <w:r>
        <w:rPr>
          <w:rFonts w:ascii="Times New Roman CYR" w:hAnsi="Times New Roman CYR" w:cs="Times New Roman CYR"/>
          <w:b/>
          <w:bCs/>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 безопасности пациентов при выполнении медицинских вмешательств, предотвращения аллергических реакций и контаминации патогенами, выполнения требований санэпидрежима.</w:t>
      </w:r>
    </w:p>
    <w:p w:rsidR="00170252" w:rsidRDefault="00170252" w:rsidP="000820E3">
      <w:pPr>
        <w:rPr>
          <w:rFonts w:ascii="Times New Roman" w:hAnsi="Times New Roman" w:cs="Times New Roman"/>
          <w:b/>
          <w:sz w:val="28"/>
          <w:szCs w:val="28"/>
        </w:rPr>
      </w:pPr>
    </w:p>
    <w:sectPr w:rsidR="00170252" w:rsidSect="004A03F5">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E60" w:rsidRDefault="00FF6E60">
      <w:pPr>
        <w:spacing w:after="0" w:line="240" w:lineRule="auto"/>
      </w:pPr>
      <w:r>
        <w:separator/>
      </w:r>
    </w:p>
  </w:endnote>
  <w:endnote w:type="continuationSeparator" w:id="0">
    <w:p w:rsidR="00FF6E60" w:rsidRDefault="00FF6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226" w:rsidRDefault="004C722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722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C722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C722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722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A03F5">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C722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A03F5">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E60" w:rsidRDefault="00FF6E60">
      <w:pPr>
        <w:spacing w:after="0" w:line="240" w:lineRule="auto"/>
      </w:pPr>
      <w:r>
        <w:separator/>
      </w:r>
    </w:p>
  </w:footnote>
  <w:footnote w:type="continuationSeparator" w:id="0">
    <w:p w:rsidR="00FF6E60" w:rsidRDefault="00FF6E6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226" w:rsidRDefault="004C722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226" w:rsidRDefault="004C722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C7226" w:rsidRDefault="004C722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03F5"/>
    <w:rsid w:val="004A7B5B"/>
    <w:rsid w:val="004B3220"/>
    <w:rsid w:val="004B7816"/>
    <w:rsid w:val="004C1F26"/>
    <w:rsid w:val="004C5F4A"/>
    <w:rsid w:val="004C7226"/>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 w:val="00FF6E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4A03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4A0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0"/>
    <w:rsid w:val="004A03F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0"/>
    <w:rsid w:val="004A0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0"/>
    <w:rsid w:val="004A03F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4A03F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4A0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0"/>
      <w:szCs w:val="20"/>
      <w:lang w:eastAsia="ru-RU"/>
    </w:rPr>
  </w:style>
  <w:style w:type="paragraph" w:customStyle="1" w:styleId="xl69">
    <w:name w:val="xl69"/>
    <w:basedOn w:val="a0"/>
    <w:rsid w:val="004A03F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0">
    <w:name w:val="xl70"/>
    <w:basedOn w:val="a0"/>
    <w:rsid w:val="004A03F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0"/>
    <w:rsid w:val="004A03F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72">
    <w:name w:val="xl72"/>
    <w:basedOn w:val="a0"/>
    <w:rsid w:val="004A0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0"/>
    <w:rsid w:val="004A03F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4A03F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0"/>
    <w:rsid w:val="004A03F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6">
    <w:name w:val="xl76"/>
    <w:basedOn w:val="a0"/>
    <w:rsid w:val="004A0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70C0"/>
      <w:sz w:val="20"/>
      <w:szCs w:val="20"/>
      <w:lang w:eastAsia="ru-RU"/>
    </w:rPr>
  </w:style>
  <w:style w:type="paragraph" w:customStyle="1" w:styleId="xl77">
    <w:name w:val="xl77"/>
    <w:basedOn w:val="a0"/>
    <w:rsid w:val="004A03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8">
    <w:name w:val="xl78"/>
    <w:basedOn w:val="a0"/>
    <w:rsid w:val="004A03F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9">
    <w:name w:val="xl79"/>
    <w:basedOn w:val="a0"/>
    <w:rsid w:val="004A03F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0"/>
    <w:rsid w:val="004A03F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1">
    <w:name w:val="xl81"/>
    <w:basedOn w:val="a0"/>
    <w:rsid w:val="004A03F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2">
    <w:name w:val="xl82"/>
    <w:basedOn w:val="a0"/>
    <w:rsid w:val="004A03F5"/>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83">
    <w:name w:val="xl83"/>
    <w:basedOn w:val="a0"/>
    <w:rsid w:val="004A03F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869029106">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F27ED-A2D1-4711-B4B0-FDCE5444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2470</Words>
  <Characters>14079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2026-03-27T06:41:00Z</dcterms:created>
  <dcterms:modified xsi:type="dcterms:W3CDTF">2026-03-27T06:41:00Z</dcterms:modified>
</cp:coreProperties>
</file>