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04.12.2019 № 05-07/856</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27397C" w:rsidP="0027397C">
            <w:pPr>
              <w:spacing w:after="0"/>
              <w:jc w:val="center"/>
              <w:rPr>
                <w:rFonts w:ascii="Times New Roman" w:hAnsi="Times New Roman" w:cs="Times New Roman"/>
                <w:i/>
                <w:sz w:val="28"/>
                <w:szCs w:val="28"/>
              </w:rPr>
            </w:pPr>
            <w:r w:rsidRPr="009B40C9">
              <w:rPr>
                <w:rFonts w:ascii="Times New Roman" w:hAnsi="Times New Roman" w:cs="Times New Roman"/>
                <w:i/>
                <w:sz w:val="28"/>
                <w:szCs w:val="28"/>
              </w:rPr>
              <w:fldChar w:fldCharType="begin">
                <w:ffData>
                  <w:name w:val="Заголовок"/>
                  <w:enabled/>
                  <w:calcOnExit w:val="0"/>
                  <w:textInput>
                    <w:default w:val="Наименование"/>
                  </w:textInput>
                </w:ffData>
              </w:fldChar>
            </w:r>
            <w:bookmarkStart w:id="1" w:name="Заголовок"/>
            <w:r w:rsidRPr="009B40C9">
              <w:rPr>
                <w:rFonts w:ascii="Times New Roman" w:hAnsi="Times New Roman" w:cs="Times New Roman"/>
                <w:i/>
                <w:sz w:val="28"/>
                <w:szCs w:val="28"/>
              </w:rPr>
              <w:instrText xml:space="preserve"> FORMTEXT </w:instrText>
            </w:r>
            <w:r w:rsidRPr="009B40C9">
              <w:rPr>
                <w:rFonts w:ascii="Times New Roman" w:hAnsi="Times New Roman" w:cs="Times New Roman"/>
                <w:i/>
                <w:sz w:val="28"/>
                <w:szCs w:val="28"/>
              </w:rPr>
            </w:r>
            <w:r w:rsidRPr="009B40C9">
              <w:rPr>
                <w:rFonts w:ascii="Times New Roman" w:hAnsi="Times New Roman" w:cs="Times New Roman"/>
                <w:i/>
                <w:sz w:val="28"/>
                <w:szCs w:val="28"/>
              </w:rPr>
              <w:fldChar w:fldCharType="separate"/>
            </w:r>
            <w:r w:rsidRPr="009B40C9">
              <w:rPr>
                <w:rFonts w:ascii="Times New Roman" w:hAnsi="Times New Roman" w:cs="Times New Roman"/>
                <w:i/>
                <w:sz w:val="28"/>
                <w:szCs w:val="28"/>
              </w:rPr>
              <w:t>Поставка лекарственных препаратов Альбумин человека</w:t>
            </w:r>
            <w:r w:rsidRPr="009B40C9">
              <w:rPr>
                <w:rFonts w:ascii="Times New Roman" w:hAnsi="Times New Roman" w:cs="Times New Roman"/>
                <w:i/>
                <w:sz w:val="28"/>
                <w:szCs w:val="28"/>
              </w:rPr>
              <w:fldChar w:fldCharType="end"/>
            </w:r>
            <w:bookmarkEnd w:id="1"/>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2" w:name="МесяцЗакупки"/>
            <w:r>
              <w:instrText xml:space="preserve"> FORMTEXT </w:instrText>
            </w:r>
            <w:r>
              <w:fldChar w:fldCharType="separate"/>
            </w:r>
            <w:r>
              <w:t>12.2019</w:t>
            </w:r>
            <w:r>
              <w:fldChar w:fldCharType="end"/>
            </w:r>
            <w:bookmarkEnd w:id="2"/>
          </w:p>
        </w:tc>
      </w:tr>
      <w:tr w:rsidR="00791CB8" w:rsidRPr="008252D7" w:rsidTr="00F33B71">
        <w:tc>
          <w:tcPr>
            <w:tcW w:w="4503" w:type="dxa"/>
          </w:tcPr>
          <w:p w:rsidR="00791CB8" w:rsidRDefault="00791CB8" w:rsidP="00B92128">
            <w:pPr>
              <w:pStyle w:val="1CStyle16"/>
              <w:jc w:val="left"/>
            </w:pPr>
            <w:r>
              <w:t>Требования к порядку поставки продукции (выполнения работ, оказания услуг)</w:t>
            </w:r>
          </w:p>
        </w:tc>
        <w:tc>
          <w:tcPr>
            <w:tcW w:w="5812" w:type="dxa"/>
          </w:tcPr>
          <w:p w:rsidR="00791CB8" w:rsidRDefault="00791CB8" w:rsidP="00B92128">
            <w:pPr>
              <w:pStyle w:val="1CStyle14"/>
              <w:jc w:val="left"/>
            </w:pPr>
            <w:r>
              <w:t>Поставка товара осуществляется по заявке Заказчика</w:t>
            </w:r>
          </w:p>
        </w:tc>
      </w:tr>
      <w:tr w:rsidR="00791CB8" w:rsidRPr="008252D7" w:rsidTr="00F33B71">
        <w:tc>
          <w:tcPr>
            <w:tcW w:w="4503" w:type="dxa"/>
          </w:tcPr>
          <w:p w:rsidR="00791CB8" w:rsidRDefault="00791CB8" w:rsidP="00B92128">
            <w:pPr>
              <w:pStyle w:val="1CStyle16"/>
              <w:jc w:val="left"/>
            </w:pPr>
            <w:r>
              <w:t>Структура цены (расходы, включенные в цену товара)</w:t>
            </w:r>
          </w:p>
        </w:tc>
        <w:tc>
          <w:tcPr>
            <w:tcW w:w="5812" w:type="dxa"/>
          </w:tcPr>
          <w:p w:rsidR="00791CB8" w:rsidRDefault="00791CB8" w:rsidP="00B92128">
            <w:pPr>
              <w:pStyle w:val="1CStyle14"/>
              <w:jc w:val="left"/>
            </w:pPr>
            <w:r>
              <w:t>стоимость товара без НДС и оптовой надбавки</w:t>
            </w:r>
            <w:r>
              <w:b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r>
              <w:br/>
            </w:r>
          </w:p>
        </w:tc>
      </w:tr>
      <w:tr w:rsidR="00791CB8" w:rsidRPr="008252D7" w:rsidTr="00F33B71">
        <w:tc>
          <w:tcPr>
            <w:tcW w:w="4503" w:type="dxa"/>
          </w:tcPr>
          <w:p w:rsidR="00791CB8" w:rsidRDefault="00791CB8" w:rsidP="00B92128">
            <w:pPr>
              <w:pStyle w:val="1CStyle16"/>
              <w:jc w:val="left"/>
            </w:pPr>
            <w:r>
              <w:t>Максимальное количество партий товара</w:t>
            </w:r>
          </w:p>
        </w:tc>
        <w:tc>
          <w:tcPr>
            <w:tcW w:w="5812" w:type="dxa"/>
          </w:tcPr>
          <w:p w:rsidR="00791CB8" w:rsidRDefault="00791CB8" w:rsidP="00B92128">
            <w:pPr>
              <w:pStyle w:val="1CStyle17"/>
            </w:pPr>
            <w:r>
              <w:t>5 партий</w:t>
            </w:r>
          </w:p>
        </w:tc>
      </w:tr>
      <w:tr w:rsidR="00791CB8" w:rsidRPr="008252D7" w:rsidTr="00F33B71">
        <w:tc>
          <w:tcPr>
            <w:tcW w:w="4503" w:type="dxa"/>
          </w:tcPr>
          <w:p w:rsidR="00791CB8" w:rsidRDefault="00791CB8" w:rsidP="00B92128">
            <w:pPr>
              <w:pStyle w:val="1CStyle16"/>
              <w:jc w:val="left"/>
            </w:pPr>
            <w:r>
              <w:t>Максимальный срок поставки товара (одной партии товара)</w:t>
            </w:r>
          </w:p>
        </w:tc>
        <w:tc>
          <w:tcPr>
            <w:tcW w:w="5812" w:type="dxa"/>
          </w:tcPr>
          <w:p w:rsidR="00791CB8" w:rsidRDefault="00791CB8" w:rsidP="00B92128">
            <w:pPr>
              <w:pStyle w:val="1CStyle14"/>
              <w:jc w:val="left"/>
            </w:pPr>
            <w:r>
              <w:t>Поставка Товара осуществляется Поставщиком в течение 10 (десяти) рабочих дней после поступления заявки от Покупателя</w:t>
            </w:r>
          </w:p>
        </w:tc>
      </w:tr>
      <w:tr w:rsidR="00791CB8" w:rsidRPr="008252D7" w:rsidTr="00F33B71">
        <w:tc>
          <w:tcPr>
            <w:tcW w:w="4503" w:type="dxa"/>
          </w:tcPr>
          <w:p w:rsidR="00791CB8" w:rsidRDefault="00791CB8" w:rsidP="00B92128">
            <w:pPr>
              <w:pStyle w:val="1CStyle16"/>
              <w:jc w:val="left"/>
            </w:pPr>
            <w:r>
              <w:t>Минимальные требования к сроку гарантии качества товара (сроку годности товара)</w:t>
            </w:r>
          </w:p>
        </w:tc>
        <w:tc>
          <w:tcPr>
            <w:tcW w:w="5812" w:type="dxa"/>
          </w:tcPr>
          <w:p w:rsidR="00791CB8" w:rsidRDefault="00791CB8" w:rsidP="00BD27C0">
            <w:pPr>
              <w:pStyle w:val="1CStyle17"/>
            </w:pPr>
            <w:r>
              <w:t xml:space="preserve">не ранее </w:t>
            </w:r>
            <w:r w:rsidR="00BD27C0">
              <w:t>01</w:t>
            </w:r>
            <w:r>
              <w:t>.202</w:t>
            </w:r>
            <w:r w:rsidR="00BD27C0">
              <w:t>1</w:t>
            </w:r>
          </w:p>
        </w:tc>
      </w:tr>
      <w:tr w:rsidR="00791CB8" w:rsidRPr="008252D7" w:rsidTr="00F33B71">
        <w:tc>
          <w:tcPr>
            <w:tcW w:w="4503" w:type="dxa"/>
          </w:tcPr>
          <w:p w:rsidR="00791CB8" w:rsidRDefault="00791CB8" w:rsidP="00B92128">
            <w:pPr>
              <w:pStyle w:val="1CStyle16"/>
              <w:jc w:val="left"/>
            </w:pPr>
            <w:r>
              <w:t>Требования к предоставляемым исполнителями работ или услуг лицензиям, сертификатам или иным документам</w:t>
            </w:r>
          </w:p>
        </w:tc>
        <w:tc>
          <w:tcPr>
            <w:tcW w:w="5812" w:type="dxa"/>
          </w:tcPr>
          <w:p w:rsidR="00791CB8" w:rsidRDefault="00791CB8" w:rsidP="00B92128">
            <w:pPr>
              <w:pStyle w:val="1CStyle14"/>
              <w:jc w:val="left"/>
            </w:pPr>
            <w:r>
              <w:t>Регистрационные удостоверения</w:t>
            </w:r>
            <w:r>
              <w:br/>
              <w:t>Лицензия на осуществление фармацевтической деятельности</w:t>
            </w:r>
          </w:p>
        </w:tc>
      </w:tr>
      <w:tr w:rsidR="00791CB8" w:rsidRPr="008252D7" w:rsidTr="00F33B71">
        <w:tc>
          <w:tcPr>
            <w:tcW w:w="4503" w:type="dxa"/>
          </w:tcPr>
          <w:p w:rsidR="00791CB8" w:rsidRDefault="00791CB8" w:rsidP="00B92128">
            <w:pPr>
              <w:pStyle w:val="1CStyle16"/>
              <w:jc w:val="left"/>
            </w:pPr>
            <w:r>
              <w:t>Порядок и сроки оплаты</w:t>
            </w:r>
          </w:p>
        </w:tc>
        <w:tc>
          <w:tcPr>
            <w:tcW w:w="5812" w:type="dxa"/>
          </w:tcPr>
          <w:p w:rsidR="00791CB8" w:rsidRDefault="00791CB8" w:rsidP="00B92128">
            <w:pPr>
              <w:pStyle w:val="1CStyle14"/>
              <w:jc w:val="left"/>
            </w:pPr>
            <w:r>
              <w:t>Оплата в течение 30 дней или в течение 15 рабочих дней при закупке у СМП с момента поставки Товара</w:t>
            </w:r>
          </w:p>
        </w:tc>
      </w:tr>
      <w:tr w:rsidR="00791CB8" w:rsidRPr="008252D7" w:rsidTr="00F33B71">
        <w:tc>
          <w:tcPr>
            <w:tcW w:w="4503" w:type="dxa"/>
          </w:tcPr>
          <w:p w:rsidR="00791CB8" w:rsidRDefault="00791CB8" w:rsidP="00B92128">
            <w:pPr>
              <w:pStyle w:val="1CStyle16"/>
              <w:jc w:val="left"/>
            </w:pPr>
            <w:r>
              <w:t>Требования к гарантийному сроку товара и (или) объему предоставления гарантий их качества</w:t>
            </w:r>
          </w:p>
        </w:tc>
        <w:tc>
          <w:tcPr>
            <w:tcW w:w="5812" w:type="dxa"/>
          </w:tcPr>
          <w:p w:rsidR="00791CB8" w:rsidRDefault="00791CB8" w:rsidP="00B92128">
            <w:pPr>
              <w:pStyle w:val="1CStyle14"/>
              <w:jc w:val="left"/>
            </w:pP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10.12.2019</w:t>
            </w:r>
            <w:r>
              <w:rPr>
                <w:rFonts w:ascii="Times New Roman" w:hAnsi="Times New Roman" w:cs="Times New Roman"/>
                <w:b/>
                <w:sz w:val="24"/>
                <w:szCs w:val="24"/>
                <w:u w:val="single"/>
              </w:rPr>
              <w:fldChar w:fldCharType="end"/>
            </w:r>
            <w:bookmarkEnd w:id="3"/>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0" w:type="auto"/>
        <w:tblInd w:w="0" w:type="dxa"/>
        <w:tblLayout w:type="fixed"/>
        <w:tblLook w:val="04A0" w:firstRow="1" w:lastRow="0" w:firstColumn="1" w:lastColumn="0" w:noHBand="0" w:noVBand="1"/>
      </w:tblPr>
      <w:tblGrid>
        <w:gridCol w:w="482"/>
        <w:gridCol w:w="774"/>
        <w:gridCol w:w="568"/>
        <w:gridCol w:w="1578"/>
        <w:gridCol w:w="928"/>
        <w:gridCol w:w="579"/>
        <w:gridCol w:w="861"/>
        <w:gridCol w:w="644"/>
        <w:gridCol w:w="653"/>
        <w:gridCol w:w="909"/>
        <w:gridCol w:w="1048"/>
      </w:tblGrid>
      <w:tr w:rsidR="00791CB8" w:rsidRPr="00791CB8" w:rsidTr="00B92128">
        <w:tc>
          <w:tcPr>
            <w:tcW w:w="482" w:type="dxa"/>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w:t>
            </w:r>
          </w:p>
        </w:tc>
        <w:tc>
          <w:tcPr>
            <w:tcW w:w="13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Материал</w:t>
            </w:r>
          </w:p>
        </w:tc>
        <w:tc>
          <w:tcPr>
            <w:tcW w:w="25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Технические характеристики</w:t>
            </w:r>
          </w:p>
        </w:tc>
        <w:tc>
          <w:tcPr>
            <w:tcW w:w="579" w:type="dxa"/>
            <w:tcBorders>
              <w:top w:val="single" w:sz="5" w:space="0" w:color="auto"/>
              <w:left w:val="single" w:sz="5" w:space="0" w:color="auto"/>
              <w:bottom w:val="single" w:sz="5" w:space="0" w:color="auto"/>
              <w:right w:val="single" w:sz="5" w:space="0" w:color="auto"/>
            </w:tcBorders>
            <w:shd w:val="clear" w:color="FFFFFF" w:fill="FFFF00"/>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 и дата РУ</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ОКПД2</w:t>
            </w: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Ед. изм. по ОКЕИ</w:t>
            </w:r>
          </w:p>
        </w:tc>
        <w:tc>
          <w:tcPr>
            <w:tcW w:w="653" w:type="dxa"/>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Кол-во</w:t>
            </w:r>
          </w:p>
        </w:tc>
        <w:tc>
          <w:tcPr>
            <w:tcW w:w="909" w:type="dxa"/>
            <w:tcBorders>
              <w:top w:val="single" w:sz="5" w:space="0" w:color="auto"/>
              <w:left w:val="single" w:sz="5" w:space="0" w:color="auto"/>
              <w:bottom w:val="single" w:sz="5" w:space="0" w:color="auto"/>
              <w:right w:val="single" w:sz="5" w:space="0" w:color="auto"/>
            </w:tcBorders>
            <w:shd w:val="clear" w:color="FFFFFF" w:fill="FFFF00"/>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Цена за ед. без НДС и опт. надбавки</w:t>
            </w:r>
          </w:p>
        </w:tc>
        <w:tc>
          <w:tcPr>
            <w:tcW w:w="1048" w:type="dxa"/>
            <w:tcBorders>
              <w:top w:val="single" w:sz="5" w:space="0" w:color="auto"/>
              <w:left w:val="single" w:sz="5" w:space="0" w:color="auto"/>
              <w:bottom w:val="single" w:sz="5" w:space="0" w:color="auto"/>
              <w:right w:val="single" w:sz="5" w:space="0" w:color="auto"/>
            </w:tcBorders>
            <w:shd w:val="clear" w:color="FFFFFF" w:fill="FFFF00"/>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Цена за ед. с НДС и опт. надбавкой</w:t>
            </w:r>
          </w:p>
        </w:tc>
      </w:tr>
      <w:tr w:rsidR="00791CB8" w:rsidRPr="00791CB8" w:rsidTr="00B92128">
        <w:tc>
          <w:tcPr>
            <w:tcW w:w="482" w:type="dxa"/>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1</w:t>
            </w:r>
          </w:p>
        </w:tc>
        <w:tc>
          <w:tcPr>
            <w:tcW w:w="13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both"/>
              <w:rPr>
                <w:rFonts w:ascii="Times New Roman" w:hAnsi="Times New Roman" w:cs="Times New Roman"/>
              </w:rPr>
            </w:pPr>
            <w:r w:rsidRPr="00791CB8">
              <w:rPr>
                <w:rFonts w:ascii="Times New Roman" w:hAnsi="Times New Roman" w:cs="Times New Roman"/>
              </w:rPr>
              <w:t>Альбумин человека</w:t>
            </w:r>
          </w:p>
        </w:tc>
        <w:tc>
          <w:tcPr>
            <w:tcW w:w="25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both"/>
              <w:rPr>
                <w:rFonts w:ascii="Times New Roman" w:hAnsi="Times New Roman" w:cs="Times New Roman"/>
              </w:rPr>
            </w:pPr>
            <w:r w:rsidRPr="00791CB8">
              <w:rPr>
                <w:rFonts w:ascii="Times New Roman" w:hAnsi="Times New Roman" w:cs="Times New Roman"/>
              </w:rPr>
              <w:t>МНН: Альбумин человека</w:t>
            </w:r>
            <w:r w:rsidRPr="00791CB8">
              <w:rPr>
                <w:rFonts w:ascii="Times New Roman" w:hAnsi="Times New Roman" w:cs="Times New Roman"/>
              </w:rPr>
              <w:br/>
              <w:t>Лекарственная форма: раствор для инфузий</w:t>
            </w:r>
            <w:r w:rsidRPr="00791CB8">
              <w:rPr>
                <w:rFonts w:ascii="Times New Roman" w:hAnsi="Times New Roman" w:cs="Times New Roman"/>
              </w:rPr>
              <w:br/>
              <w:t>Дозировка: 25 %</w:t>
            </w:r>
            <w:r w:rsidRPr="00791CB8">
              <w:rPr>
                <w:rFonts w:ascii="Times New Roman" w:hAnsi="Times New Roman" w:cs="Times New Roman"/>
              </w:rPr>
              <w:br/>
              <w:t>Объем наполнения первичной упаковки: 50 мл</w:t>
            </w:r>
          </w:p>
        </w:tc>
        <w:tc>
          <w:tcPr>
            <w:tcW w:w="579" w:type="dxa"/>
            <w:tcBorders>
              <w:top w:val="single" w:sz="5" w:space="0" w:color="auto"/>
              <w:left w:val="single" w:sz="5" w:space="0" w:color="auto"/>
              <w:bottom w:val="single" w:sz="5" w:space="0" w:color="auto"/>
              <w:right w:val="single" w:sz="5" w:space="0" w:color="auto"/>
            </w:tcBorders>
            <w:shd w:val="clear" w:color="FFFFFF" w:fill="auto"/>
            <w:vAlign w:val="bottom"/>
          </w:tcPr>
          <w:p w:rsidR="00791CB8" w:rsidRPr="00791CB8" w:rsidRDefault="00791CB8" w:rsidP="00791CB8">
            <w:pPr>
              <w:jc w:val="center"/>
              <w:rPr>
                <w:rFonts w:ascii="Times New Roman" w:hAnsi="Times New Roman" w:cs="Times New Roman"/>
              </w:rPr>
            </w:pP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21.20.10.134</w:t>
            </w: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center"/>
              <w:rPr>
                <w:rFonts w:ascii="Times New Roman" w:hAnsi="Times New Roman" w:cs="Times New Roman"/>
              </w:rPr>
            </w:pPr>
            <w:r w:rsidRPr="00791CB8">
              <w:rPr>
                <w:rFonts w:ascii="Times New Roman" w:hAnsi="Times New Roman" w:cs="Times New Roman"/>
              </w:rPr>
              <w:t>шт*</w:t>
            </w:r>
          </w:p>
        </w:tc>
        <w:tc>
          <w:tcPr>
            <w:tcW w:w="653" w:type="dxa"/>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9A00C7" w:rsidP="00791CB8">
            <w:pPr>
              <w:jc w:val="right"/>
              <w:rPr>
                <w:rFonts w:ascii="Times New Roman" w:hAnsi="Times New Roman" w:cs="Times New Roman"/>
              </w:rPr>
            </w:pPr>
            <w:r>
              <w:rPr>
                <w:rFonts w:ascii="Times New Roman" w:hAnsi="Times New Roman" w:cs="Times New Roman"/>
              </w:rPr>
              <w:t>98</w:t>
            </w:r>
            <w:bookmarkStart w:id="4" w:name="_GoBack"/>
            <w:bookmarkEnd w:id="4"/>
            <w:r w:rsidR="00791CB8" w:rsidRPr="00791CB8">
              <w:rPr>
                <w:rFonts w:ascii="Times New Roman" w:hAnsi="Times New Roman" w:cs="Times New Roman"/>
              </w:rPr>
              <w:t>0</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right"/>
              <w:rPr>
                <w:rFonts w:ascii="Times New Roman" w:hAnsi="Times New Roman" w:cs="Times New Roman"/>
              </w:rPr>
            </w:pPr>
          </w:p>
        </w:tc>
        <w:tc>
          <w:tcPr>
            <w:tcW w:w="1048" w:type="dxa"/>
            <w:tcBorders>
              <w:top w:val="single" w:sz="5" w:space="0" w:color="auto"/>
              <w:left w:val="single" w:sz="5" w:space="0" w:color="auto"/>
              <w:bottom w:val="single" w:sz="5" w:space="0" w:color="auto"/>
              <w:right w:val="single" w:sz="5" w:space="0" w:color="auto"/>
            </w:tcBorders>
            <w:shd w:val="clear" w:color="FFFFFF" w:fill="auto"/>
            <w:vAlign w:val="center"/>
          </w:tcPr>
          <w:p w:rsidR="00791CB8" w:rsidRPr="00791CB8" w:rsidRDefault="00791CB8" w:rsidP="00791CB8">
            <w:pPr>
              <w:jc w:val="right"/>
              <w:rPr>
                <w:rFonts w:ascii="Times New Roman" w:hAnsi="Times New Roman" w:cs="Times New Roman"/>
              </w:rPr>
            </w:pPr>
          </w:p>
        </w:tc>
      </w:tr>
      <w:tr w:rsidR="00791CB8" w:rsidRPr="00791CB8" w:rsidTr="00B92128">
        <w:tc>
          <w:tcPr>
            <w:tcW w:w="482" w:type="dxa"/>
            <w:shd w:val="clear" w:color="FFFFFF" w:fill="auto"/>
            <w:vAlign w:val="bottom"/>
          </w:tcPr>
          <w:p w:rsidR="00791CB8" w:rsidRPr="00791CB8" w:rsidRDefault="00791CB8" w:rsidP="00791CB8">
            <w:pPr>
              <w:jc w:val="center"/>
              <w:rPr>
                <w:rFonts w:cs="Times New Roman"/>
              </w:rPr>
            </w:pPr>
          </w:p>
        </w:tc>
        <w:tc>
          <w:tcPr>
            <w:tcW w:w="774" w:type="dxa"/>
            <w:shd w:val="clear" w:color="FFFFFF" w:fill="auto"/>
            <w:vAlign w:val="bottom"/>
          </w:tcPr>
          <w:p w:rsidR="00791CB8" w:rsidRPr="00791CB8" w:rsidRDefault="00791CB8" w:rsidP="00791CB8">
            <w:pPr>
              <w:jc w:val="center"/>
              <w:rPr>
                <w:rFonts w:cs="Times New Roman"/>
              </w:rPr>
            </w:pPr>
          </w:p>
        </w:tc>
        <w:tc>
          <w:tcPr>
            <w:tcW w:w="568" w:type="dxa"/>
            <w:shd w:val="clear" w:color="FFFFFF" w:fill="auto"/>
            <w:vAlign w:val="bottom"/>
          </w:tcPr>
          <w:p w:rsidR="00791CB8" w:rsidRPr="00791CB8" w:rsidRDefault="00791CB8" w:rsidP="00791CB8">
            <w:pPr>
              <w:jc w:val="center"/>
              <w:rPr>
                <w:rFonts w:cs="Times New Roman"/>
              </w:rPr>
            </w:pPr>
          </w:p>
        </w:tc>
        <w:tc>
          <w:tcPr>
            <w:tcW w:w="1578" w:type="dxa"/>
            <w:shd w:val="clear" w:color="FFFFFF" w:fill="auto"/>
            <w:vAlign w:val="bottom"/>
          </w:tcPr>
          <w:p w:rsidR="00791CB8" w:rsidRPr="00791CB8" w:rsidRDefault="00791CB8" w:rsidP="00791CB8">
            <w:pPr>
              <w:jc w:val="center"/>
              <w:rPr>
                <w:rFonts w:cs="Times New Roman"/>
              </w:rPr>
            </w:pPr>
          </w:p>
        </w:tc>
        <w:tc>
          <w:tcPr>
            <w:tcW w:w="928" w:type="dxa"/>
            <w:shd w:val="clear" w:color="FFFFFF" w:fill="auto"/>
            <w:vAlign w:val="bottom"/>
          </w:tcPr>
          <w:p w:rsidR="00791CB8" w:rsidRPr="00791CB8" w:rsidRDefault="00791CB8" w:rsidP="00791CB8">
            <w:pPr>
              <w:jc w:val="center"/>
              <w:rPr>
                <w:rFonts w:cs="Times New Roman"/>
              </w:rPr>
            </w:pPr>
          </w:p>
        </w:tc>
        <w:tc>
          <w:tcPr>
            <w:tcW w:w="579" w:type="dxa"/>
            <w:shd w:val="clear" w:color="FFFFFF" w:fill="auto"/>
            <w:vAlign w:val="bottom"/>
          </w:tcPr>
          <w:p w:rsidR="00791CB8" w:rsidRPr="00791CB8" w:rsidRDefault="00791CB8" w:rsidP="00791CB8">
            <w:pPr>
              <w:jc w:val="center"/>
              <w:rPr>
                <w:rFonts w:cs="Times New Roman"/>
              </w:rPr>
            </w:pPr>
          </w:p>
        </w:tc>
        <w:tc>
          <w:tcPr>
            <w:tcW w:w="861" w:type="dxa"/>
            <w:shd w:val="clear" w:color="FFFFFF" w:fill="auto"/>
            <w:vAlign w:val="bottom"/>
          </w:tcPr>
          <w:p w:rsidR="00791CB8" w:rsidRPr="00791CB8" w:rsidRDefault="00791CB8" w:rsidP="00791CB8">
            <w:pPr>
              <w:jc w:val="center"/>
              <w:rPr>
                <w:rFonts w:cs="Times New Roman"/>
              </w:rPr>
            </w:pPr>
          </w:p>
        </w:tc>
        <w:tc>
          <w:tcPr>
            <w:tcW w:w="644" w:type="dxa"/>
            <w:shd w:val="clear" w:color="FFFFFF" w:fill="auto"/>
            <w:vAlign w:val="bottom"/>
          </w:tcPr>
          <w:p w:rsidR="00791CB8" w:rsidRPr="00791CB8" w:rsidRDefault="00791CB8" w:rsidP="00791CB8">
            <w:pPr>
              <w:jc w:val="center"/>
              <w:rPr>
                <w:rFonts w:cs="Times New Roman"/>
              </w:rPr>
            </w:pPr>
          </w:p>
        </w:tc>
        <w:tc>
          <w:tcPr>
            <w:tcW w:w="653" w:type="dxa"/>
            <w:shd w:val="clear" w:color="FFFFFF" w:fill="auto"/>
            <w:vAlign w:val="bottom"/>
          </w:tcPr>
          <w:p w:rsidR="00791CB8" w:rsidRPr="00791CB8" w:rsidRDefault="00791CB8" w:rsidP="00791CB8">
            <w:pPr>
              <w:jc w:val="center"/>
              <w:rPr>
                <w:rFonts w:cs="Times New Roman"/>
              </w:rPr>
            </w:pPr>
          </w:p>
        </w:tc>
        <w:tc>
          <w:tcPr>
            <w:tcW w:w="909" w:type="dxa"/>
            <w:shd w:val="clear" w:color="FFFFFF" w:fill="auto"/>
            <w:vAlign w:val="bottom"/>
          </w:tcPr>
          <w:p w:rsidR="00791CB8" w:rsidRPr="00791CB8" w:rsidRDefault="00791CB8" w:rsidP="00791CB8">
            <w:pPr>
              <w:jc w:val="center"/>
              <w:rPr>
                <w:rFonts w:cs="Times New Roman"/>
              </w:rPr>
            </w:pPr>
          </w:p>
        </w:tc>
        <w:tc>
          <w:tcPr>
            <w:tcW w:w="1048" w:type="dxa"/>
            <w:shd w:val="clear" w:color="FFFFFF" w:fill="auto"/>
            <w:vAlign w:val="bottom"/>
          </w:tcPr>
          <w:p w:rsidR="00791CB8" w:rsidRPr="00791CB8" w:rsidRDefault="00791CB8" w:rsidP="00791CB8">
            <w:pPr>
              <w:jc w:val="center"/>
              <w:rPr>
                <w:rFonts w:cs="Times New Roman"/>
              </w:rPr>
            </w:pPr>
          </w:p>
        </w:tc>
      </w:tr>
      <w:tr w:rsidR="00791CB8" w:rsidRPr="00791CB8" w:rsidTr="00B92128">
        <w:tc>
          <w:tcPr>
            <w:tcW w:w="9024" w:type="dxa"/>
            <w:gridSpan w:val="11"/>
            <w:shd w:val="clear" w:color="FFFFFF" w:fill="auto"/>
            <w:vAlign w:val="bottom"/>
          </w:tcPr>
          <w:p w:rsidR="00791CB8" w:rsidRPr="00791CB8" w:rsidRDefault="00791CB8" w:rsidP="00791CB8">
            <w:pPr>
              <w:jc w:val="both"/>
              <w:rPr>
                <w:rFonts w:ascii="Times New Roman" w:hAnsi="Times New Roman" w:cs="Times New Roman"/>
                <w:sz w:val="24"/>
              </w:rPr>
            </w:pPr>
            <w:r w:rsidRPr="00791CB8">
              <w:rPr>
                <w:rFonts w:ascii="Times New Roman" w:hAnsi="Times New Roman" w:cs="Times New Roman"/>
                <w:sz w:val="24"/>
              </w:rPr>
              <w:t>*- первичная упаковка</w:t>
            </w:r>
          </w:p>
        </w:tc>
      </w:tr>
      <w:tr w:rsidR="00791CB8" w:rsidRPr="00791CB8" w:rsidTr="00B92128">
        <w:tc>
          <w:tcPr>
            <w:tcW w:w="9024" w:type="dxa"/>
            <w:gridSpan w:val="11"/>
            <w:shd w:val="clear" w:color="FFFFFF" w:fill="auto"/>
            <w:vAlign w:val="bottom"/>
          </w:tcPr>
          <w:p w:rsidR="00791CB8" w:rsidRPr="00791CB8" w:rsidRDefault="00791CB8" w:rsidP="00791CB8">
            <w:pPr>
              <w:jc w:val="both"/>
              <w:rPr>
                <w:rFonts w:ascii="Times New Roman" w:hAnsi="Times New Roman" w:cs="Times New Roman"/>
                <w:sz w:val="24"/>
              </w:rPr>
            </w:pPr>
            <w:r w:rsidRPr="00791CB8">
              <w:rPr>
                <w:rFonts w:ascii="Times New Roman" w:hAnsi="Times New Roman" w:cs="Times New Roman"/>
                <w:sz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2B" w:rsidRDefault="002E712B">
      <w:pPr>
        <w:spacing w:after="0" w:line="240" w:lineRule="auto"/>
      </w:pPr>
      <w:r>
        <w:separator/>
      </w:r>
    </w:p>
  </w:endnote>
  <w:endnote w:type="continuationSeparator" w:id="0">
    <w:p w:rsidR="002E712B" w:rsidRDefault="002E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A00C7">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E712B">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2B" w:rsidRDefault="002E712B">
      <w:pPr>
        <w:spacing w:after="0" w:line="240" w:lineRule="auto"/>
      </w:pPr>
      <w:r>
        <w:separator/>
      </w:r>
    </w:p>
  </w:footnote>
  <w:footnote w:type="continuationSeparator" w:id="0">
    <w:p w:rsidR="002E712B" w:rsidRDefault="002E712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E712B"/>
    <w:rsid w:val="002F1377"/>
    <w:rsid w:val="002F2BED"/>
    <w:rsid w:val="002F5BC1"/>
    <w:rsid w:val="002F6D7C"/>
    <w:rsid w:val="00307F11"/>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1CB8"/>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1064"/>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00C7"/>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D27C0"/>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
    <w:name w:val="TableStyle0"/>
    <w:rsid w:val="00791CB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Style16">
    <w:name w:val="1CStyle16"/>
    <w:rsid w:val="00791CB8"/>
    <w:pPr>
      <w:jc w:val="center"/>
    </w:pPr>
    <w:rPr>
      <w:rFonts w:ascii="Times New Roman" w:eastAsiaTheme="minorEastAsia" w:hAnsi="Times New Roman"/>
      <w:lang w:eastAsia="ru-RU"/>
    </w:rPr>
  </w:style>
  <w:style w:type="paragraph" w:customStyle="1" w:styleId="1CStyle14">
    <w:name w:val="1CStyle14"/>
    <w:rsid w:val="00791CB8"/>
    <w:pPr>
      <w:jc w:val="center"/>
    </w:pPr>
    <w:rPr>
      <w:rFonts w:ascii="Times New Roman" w:eastAsiaTheme="minorEastAsia" w:hAnsi="Times New Roman"/>
      <w:lang w:eastAsia="ru-RU"/>
    </w:rPr>
  </w:style>
  <w:style w:type="paragraph" w:customStyle="1" w:styleId="1CStyle17">
    <w:name w:val="1CStyle17"/>
    <w:rsid w:val="00791CB8"/>
    <w:pPr>
      <w:jc w:val="center"/>
    </w:pPr>
    <w:rPr>
      <w:rFonts w:ascii="Times New Roman" w:eastAsiaTheme="minorEastAsia"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
    <w:name w:val="TableStyle0"/>
    <w:rsid w:val="00791CB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Style16">
    <w:name w:val="1CStyle16"/>
    <w:rsid w:val="00791CB8"/>
    <w:pPr>
      <w:jc w:val="center"/>
    </w:pPr>
    <w:rPr>
      <w:rFonts w:ascii="Times New Roman" w:eastAsiaTheme="minorEastAsia" w:hAnsi="Times New Roman"/>
      <w:lang w:eastAsia="ru-RU"/>
    </w:rPr>
  </w:style>
  <w:style w:type="paragraph" w:customStyle="1" w:styleId="1CStyle14">
    <w:name w:val="1CStyle14"/>
    <w:rsid w:val="00791CB8"/>
    <w:pPr>
      <w:jc w:val="center"/>
    </w:pPr>
    <w:rPr>
      <w:rFonts w:ascii="Times New Roman" w:eastAsiaTheme="minorEastAsia" w:hAnsi="Times New Roman"/>
      <w:lang w:eastAsia="ru-RU"/>
    </w:rPr>
  </w:style>
  <w:style w:type="paragraph" w:customStyle="1" w:styleId="1CStyle17">
    <w:name w:val="1CStyle17"/>
    <w:rsid w:val="00791CB8"/>
    <w:pPr>
      <w:jc w:val="center"/>
    </w:pPr>
    <w:rPr>
      <w:rFonts w:ascii="Times New Roman" w:eastAsiaTheme="minorEastAsia"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99EA-7283-4371-81F2-2714187B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8</cp:revision>
  <cp:lastPrinted>2018-01-19T15:25:00Z</cp:lastPrinted>
  <dcterms:created xsi:type="dcterms:W3CDTF">2019-11-07T13:32:00Z</dcterms:created>
  <dcterms:modified xsi:type="dcterms:W3CDTF">2019-12-04T07:49:00Z</dcterms:modified>
</cp:coreProperties>
</file>