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05-07/1312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006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Весь товар должен быть поставлен в течение 120 календарных дней с момента заключения контракта, допускается поставка партиями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3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888"/>
        <w:gridCol w:w="6137"/>
        <w:gridCol w:w="1266"/>
        <w:gridCol w:w="1317"/>
        <w:gridCol w:w="616"/>
        <w:gridCol w:w="632"/>
        <w:gridCol w:w="702"/>
        <w:gridCol w:w="811"/>
        <w:gridCol w:w="1065"/>
      </w:tblGrid>
      <w:tr w:rsidR="00427BC4" w:rsidRPr="00435F35" w:rsidTr="00B72AC8">
        <w:trPr>
          <w:trHeight w:val="20"/>
        </w:trPr>
        <w:tc>
          <w:tcPr>
            <w:tcW w:w="161"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п/н</w:t>
            </w:r>
          </w:p>
        </w:tc>
        <w:tc>
          <w:tcPr>
            <w:tcW w:w="905"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Наименование Товара</w:t>
            </w:r>
          </w:p>
        </w:tc>
        <w:tc>
          <w:tcPr>
            <w:tcW w:w="1924"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Характеристики с указанием производителя и страны происхождения товара</w:t>
            </w:r>
          </w:p>
        </w:tc>
        <w:tc>
          <w:tcPr>
            <w:tcW w:w="397"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Единица измерения</w:t>
            </w:r>
          </w:p>
        </w:tc>
        <w:tc>
          <w:tcPr>
            <w:tcW w:w="413"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Код по ОКПД2</w:t>
            </w:r>
          </w:p>
        </w:tc>
        <w:tc>
          <w:tcPr>
            <w:tcW w:w="193"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Кол-во</w:t>
            </w:r>
          </w:p>
        </w:tc>
        <w:tc>
          <w:tcPr>
            <w:tcW w:w="198"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w:t>
            </w:r>
          </w:p>
        </w:tc>
        <w:tc>
          <w:tcPr>
            <w:tcW w:w="220"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НДС (руб.)</w:t>
            </w:r>
          </w:p>
        </w:tc>
        <w:tc>
          <w:tcPr>
            <w:tcW w:w="254" w:type="pct"/>
            <w:vAlign w:val="center"/>
            <w:hideMark/>
          </w:tcPr>
          <w:p w:rsidR="00427BC4" w:rsidRPr="00435F35" w:rsidRDefault="00427BC4" w:rsidP="00427BC4">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Цена за ед. Товара </w:t>
            </w:r>
            <w:r>
              <w:rPr>
                <w:rFonts w:ascii="Times New Roman" w:eastAsia="Times New Roman" w:hAnsi="Times New Roman" w:cs="Times New Roman"/>
                <w:sz w:val="20"/>
                <w:szCs w:val="20"/>
                <w:lang w:eastAsia="ru-RU"/>
              </w:rPr>
              <w:t>без</w:t>
            </w:r>
            <w:r w:rsidRPr="00435F35">
              <w:rPr>
                <w:rFonts w:ascii="Times New Roman" w:eastAsia="Times New Roman" w:hAnsi="Times New Roman" w:cs="Times New Roman"/>
                <w:sz w:val="20"/>
                <w:szCs w:val="20"/>
                <w:lang w:eastAsia="ru-RU"/>
              </w:rPr>
              <w:t xml:space="preserve"> НДС (руб.)</w:t>
            </w:r>
          </w:p>
        </w:tc>
        <w:tc>
          <w:tcPr>
            <w:tcW w:w="334" w:type="pct"/>
            <w:vAlign w:val="center"/>
            <w:hideMark/>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r w:rsidRPr="00435F35">
              <w:rPr>
                <w:rFonts w:ascii="Times New Roman" w:eastAsia="Times New Roman" w:hAnsi="Times New Roman" w:cs="Times New Roman"/>
                <w:sz w:val="20"/>
                <w:szCs w:val="20"/>
                <w:lang w:eastAsia="ru-RU"/>
              </w:rPr>
              <w:t xml:space="preserve">Сумма </w:t>
            </w:r>
            <w:r>
              <w:rPr>
                <w:rFonts w:ascii="Times New Roman" w:eastAsia="Times New Roman" w:hAnsi="Times New Roman" w:cs="Times New Roman"/>
                <w:sz w:val="20"/>
                <w:szCs w:val="20"/>
                <w:lang w:eastAsia="ru-RU"/>
              </w:rPr>
              <w:t>без</w:t>
            </w:r>
            <w:r w:rsidRPr="00435F35">
              <w:rPr>
                <w:rFonts w:ascii="Times New Roman" w:eastAsia="Times New Roman" w:hAnsi="Times New Roman" w:cs="Times New Roman"/>
                <w:sz w:val="20"/>
                <w:szCs w:val="20"/>
                <w:lang w:eastAsia="ru-RU"/>
              </w:rPr>
              <w:t xml:space="preserve"> НДС (руб.)</w:t>
            </w:r>
          </w:p>
        </w:tc>
      </w:tr>
      <w:tr w:rsidR="00427BC4" w:rsidRPr="00435F35" w:rsidTr="00B72AC8">
        <w:trPr>
          <w:trHeight w:val="20"/>
        </w:trPr>
        <w:tc>
          <w:tcPr>
            <w:tcW w:w="161" w:type="pct"/>
            <w:vAlign w:val="center"/>
          </w:tcPr>
          <w:p w:rsidR="00427BC4" w:rsidRPr="00435F35" w:rsidRDefault="00427BC4"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05" w:type="pct"/>
            <w:tcBorders>
              <w:top w:val="single" w:sz="4" w:space="0" w:color="auto"/>
              <w:left w:val="single" w:sz="4" w:space="0" w:color="auto"/>
              <w:bottom w:val="single" w:sz="4" w:space="0" w:color="auto"/>
              <w:right w:val="single" w:sz="4" w:space="0" w:color="auto"/>
            </w:tcBorders>
            <w:vAlign w:val="center"/>
          </w:tcPr>
          <w:p w:rsidR="00427BC4" w:rsidRPr="00B2263A" w:rsidRDefault="00427BC4" w:rsidP="00B72AC8">
            <w:pPr>
              <w:snapToGrid w:val="0"/>
              <w:spacing w:after="0" w:line="240" w:lineRule="auto"/>
              <w:jc w:val="center"/>
              <w:rPr>
                <w:rFonts w:ascii="Times New Roman" w:eastAsia="Times New Roman" w:hAnsi="Times New Roman"/>
                <w:bCs/>
                <w:sz w:val="16"/>
                <w:szCs w:val="16"/>
              </w:rPr>
            </w:pPr>
            <w:r w:rsidRPr="000A0725">
              <w:rPr>
                <w:rFonts w:ascii="Times New Roman" w:hAnsi="Times New Roman"/>
                <w:sz w:val="20"/>
                <w:szCs w:val="20"/>
              </w:rPr>
              <w:t>Антитела к OCT-2</w:t>
            </w:r>
          </w:p>
        </w:tc>
        <w:tc>
          <w:tcPr>
            <w:tcW w:w="1924" w:type="pct"/>
            <w:tcBorders>
              <w:top w:val="single" w:sz="4" w:space="0" w:color="auto"/>
              <w:left w:val="single" w:sz="4" w:space="0" w:color="auto"/>
              <w:bottom w:val="single" w:sz="4" w:space="0" w:color="auto"/>
              <w:right w:val="single" w:sz="4" w:space="0" w:color="auto"/>
            </w:tcBorders>
          </w:tcPr>
          <w:p w:rsidR="00427BC4" w:rsidRPr="000A0725" w:rsidRDefault="00427BC4" w:rsidP="00B72AC8">
            <w:pPr>
              <w:spacing w:after="0"/>
              <w:rPr>
                <w:rFonts w:ascii="Times New Roman" w:eastAsia="Times New Roman" w:hAnsi="Times New Roman"/>
                <w:bCs/>
                <w:sz w:val="20"/>
                <w:szCs w:val="20"/>
              </w:rPr>
            </w:pPr>
            <w:r w:rsidRPr="000A0725">
              <w:rPr>
                <w:rFonts w:ascii="Times New Roman" w:eastAsia="Times New Roman" w:hAnsi="Times New Roman"/>
                <w:bCs/>
                <w:sz w:val="20"/>
                <w:szCs w:val="20"/>
              </w:rPr>
              <w:t>Первичные антитела (мышиные моноклональные) к ОСТ</w:t>
            </w:r>
            <w:r>
              <w:rPr>
                <w:rFonts w:ascii="Times New Roman" w:eastAsia="Times New Roman" w:hAnsi="Times New Roman"/>
                <w:bCs/>
                <w:sz w:val="20"/>
                <w:szCs w:val="20"/>
              </w:rPr>
              <w:t>-</w:t>
            </w:r>
            <w:r w:rsidRPr="000A0725">
              <w:rPr>
                <w:rFonts w:ascii="Times New Roman" w:eastAsia="Times New Roman" w:hAnsi="Times New Roman"/>
                <w:bCs/>
                <w:sz w:val="20"/>
                <w:szCs w:val="20"/>
              </w:rPr>
              <w:t>2, клон MRQ-2, жидкие концентрированные, не менее 0,1 мл.</w:t>
            </w:r>
          </w:p>
          <w:p w:rsidR="00427BC4" w:rsidRDefault="00427BC4" w:rsidP="00B72AC8">
            <w:pPr>
              <w:spacing w:after="0"/>
              <w:rPr>
                <w:rFonts w:ascii="Times New Roman" w:hAnsi="Times New Roman"/>
                <w:sz w:val="20"/>
                <w:szCs w:val="20"/>
              </w:rPr>
            </w:pPr>
            <w:r w:rsidRPr="00B2263A">
              <w:rPr>
                <w:rFonts w:ascii="Times New Roman" w:eastAsia="Times New Roman" w:hAnsi="Times New Roman"/>
                <w:bCs/>
                <w:sz w:val="20"/>
                <w:szCs w:val="20"/>
              </w:rPr>
              <w:t>Предназначены для проведения in vitro диагностики методом иммуногистохимического анализа на парафиновых срезах фиксированного в формалине материала</w:t>
            </w:r>
            <w:r>
              <w:rPr>
                <w:rFonts w:ascii="Times New Roman" w:hAnsi="Times New Roman"/>
                <w:sz w:val="20"/>
                <w:szCs w:val="20"/>
              </w:rPr>
              <w:t xml:space="preserve">. Реактивность: человек </w:t>
            </w:r>
          </w:p>
          <w:p w:rsidR="00427BC4" w:rsidRPr="00B2263A" w:rsidRDefault="00427BC4" w:rsidP="00B72AC8">
            <w:pPr>
              <w:spacing w:after="0"/>
              <w:rPr>
                <w:rFonts w:ascii="Times New Roman" w:eastAsia="Times New Roman" w:hAnsi="Times New Roman"/>
                <w:bCs/>
                <w:sz w:val="16"/>
                <w:szCs w:val="16"/>
              </w:rPr>
            </w:pPr>
            <w:r>
              <w:rPr>
                <w:rFonts w:ascii="Times New Roman" w:hAnsi="Times New Roman"/>
                <w:sz w:val="20"/>
                <w:szCs w:val="20"/>
              </w:rPr>
              <w:t xml:space="preserve">Рекомендуемое разведение: 1:25 - 1:100. </w:t>
            </w:r>
          </w:p>
        </w:tc>
        <w:tc>
          <w:tcPr>
            <w:tcW w:w="397"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 w:type="pct"/>
            <w:vAlign w:val="center"/>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r>
      <w:tr w:rsidR="00427BC4" w:rsidRPr="00435F35" w:rsidTr="00B72AC8">
        <w:trPr>
          <w:trHeight w:val="20"/>
        </w:trPr>
        <w:tc>
          <w:tcPr>
            <w:tcW w:w="161" w:type="pct"/>
            <w:vAlign w:val="center"/>
          </w:tcPr>
          <w:p w:rsidR="00427BC4" w:rsidRDefault="00427BC4"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05" w:type="pct"/>
            <w:tcBorders>
              <w:top w:val="single" w:sz="4" w:space="0" w:color="auto"/>
              <w:left w:val="single" w:sz="4" w:space="0" w:color="auto"/>
              <w:bottom w:val="single" w:sz="4" w:space="0" w:color="auto"/>
              <w:right w:val="single" w:sz="4" w:space="0" w:color="auto"/>
            </w:tcBorders>
            <w:vAlign w:val="center"/>
          </w:tcPr>
          <w:p w:rsidR="00427BC4" w:rsidRPr="00B2263A" w:rsidRDefault="00427BC4" w:rsidP="00B72AC8">
            <w:pPr>
              <w:snapToGrid w:val="0"/>
              <w:spacing w:after="0" w:line="240" w:lineRule="auto"/>
              <w:jc w:val="center"/>
              <w:rPr>
                <w:rFonts w:ascii="Times New Roman" w:eastAsia="Times New Roman" w:hAnsi="Times New Roman"/>
                <w:bCs/>
                <w:sz w:val="16"/>
                <w:szCs w:val="16"/>
              </w:rPr>
            </w:pPr>
            <w:r w:rsidRPr="000A0725">
              <w:rPr>
                <w:rFonts w:ascii="Times New Roman" w:hAnsi="Times New Roman"/>
                <w:sz w:val="20"/>
                <w:szCs w:val="20"/>
              </w:rPr>
              <w:t>Антитела к OCT-4</w:t>
            </w:r>
          </w:p>
        </w:tc>
        <w:tc>
          <w:tcPr>
            <w:tcW w:w="1924" w:type="pct"/>
            <w:tcBorders>
              <w:top w:val="single" w:sz="4" w:space="0" w:color="auto"/>
              <w:left w:val="single" w:sz="4" w:space="0" w:color="auto"/>
              <w:bottom w:val="single" w:sz="4" w:space="0" w:color="auto"/>
              <w:right w:val="single" w:sz="4" w:space="0" w:color="auto"/>
            </w:tcBorders>
          </w:tcPr>
          <w:p w:rsidR="00427BC4" w:rsidRDefault="00427BC4" w:rsidP="00B72AC8">
            <w:pPr>
              <w:spacing w:after="0"/>
              <w:rPr>
                <w:rFonts w:ascii="Times New Roman" w:hAnsi="Times New Roman"/>
                <w:sz w:val="20"/>
                <w:szCs w:val="20"/>
              </w:rPr>
            </w:pPr>
            <w:r>
              <w:rPr>
                <w:rFonts w:ascii="Times New Roman" w:hAnsi="Times New Roman"/>
                <w:sz w:val="20"/>
                <w:szCs w:val="20"/>
              </w:rPr>
              <w:t xml:space="preserve">Первичные антитела </w:t>
            </w:r>
            <w:r w:rsidRPr="000A0725">
              <w:rPr>
                <w:rFonts w:ascii="Times New Roman" w:eastAsia="Times New Roman" w:hAnsi="Times New Roman"/>
                <w:bCs/>
                <w:sz w:val="20"/>
                <w:szCs w:val="20"/>
              </w:rPr>
              <w:t>(мышиные моноклональные) к ОСТ</w:t>
            </w:r>
            <w:r>
              <w:rPr>
                <w:rFonts w:ascii="Times New Roman" w:eastAsia="Times New Roman" w:hAnsi="Times New Roman"/>
                <w:bCs/>
                <w:sz w:val="20"/>
                <w:szCs w:val="20"/>
              </w:rPr>
              <w:t>-4</w:t>
            </w:r>
            <w:r w:rsidRPr="000A0725">
              <w:rPr>
                <w:rFonts w:ascii="Times New Roman" w:eastAsia="Times New Roman" w:hAnsi="Times New Roman"/>
                <w:bCs/>
                <w:sz w:val="20"/>
                <w:szCs w:val="20"/>
              </w:rPr>
              <w:t>, клон MRQ-</w:t>
            </w:r>
            <w:r>
              <w:rPr>
                <w:rFonts w:ascii="Times New Roman" w:eastAsia="Times New Roman" w:hAnsi="Times New Roman"/>
                <w:bCs/>
                <w:sz w:val="20"/>
                <w:szCs w:val="20"/>
              </w:rPr>
              <w:t>10</w:t>
            </w:r>
            <w:r w:rsidRPr="000A0725">
              <w:rPr>
                <w:rFonts w:ascii="Times New Roman" w:eastAsia="Times New Roman" w:hAnsi="Times New Roman"/>
                <w:bCs/>
                <w:sz w:val="20"/>
                <w:szCs w:val="20"/>
              </w:rPr>
              <w:t xml:space="preserve">, жидкие </w:t>
            </w:r>
            <w:r>
              <w:rPr>
                <w:rFonts w:ascii="Times New Roman" w:hAnsi="Times New Roman"/>
                <w:sz w:val="20"/>
                <w:szCs w:val="20"/>
              </w:rPr>
              <w:t>концентрированные, не менее 0,1 мл.</w:t>
            </w:r>
          </w:p>
          <w:p w:rsidR="00427BC4" w:rsidRDefault="00427BC4" w:rsidP="00B72AC8">
            <w:pPr>
              <w:spacing w:after="0"/>
              <w:rPr>
                <w:rFonts w:ascii="Times New Roman" w:hAnsi="Times New Roman"/>
                <w:sz w:val="20"/>
                <w:szCs w:val="20"/>
              </w:rPr>
            </w:pPr>
            <w:r w:rsidRPr="00B2263A">
              <w:rPr>
                <w:rFonts w:ascii="Times New Roman" w:eastAsia="Times New Roman" w:hAnsi="Times New Roman"/>
                <w:bCs/>
                <w:sz w:val="20"/>
                <w:szCs w:val="20"/>
              </w:rPr>
              <w:t>Предназначены для проведения in vitro диагностики методом иммуногистохимического анализа на парафиновых срезах фиксированного в формалине материала</w:t>
            </w:r>
            <w:r>
              <w:rPr>
                <w:rFonts w:ascii="Times New Roman" w:hAnsi="Times New Roman"/>
                <w:sz w:val="20"/>
                <w:szCs w:val="20"/>
              </w:rPr>
              <w:t xml:space="preserve">. Реактивность: человек </w:t>
            </w:r>
          </w:p>
          <w:p w:rsidR="00427BC4" w:rsidRPr="00B2263A" w:rsidRDefault="00427BC4" w:rsidP="00B72AC8">
            <w:pPr>
              <w:spacing w:after="0"/>
              <w:rPr>
                <w:rFonts w:ascii="Times New Roman" w:eastAsia="Times New Roman" w:hAnsi="Times New Roman"/>
                <w:bCs/>
                <w:sz w:val="16"/>
                <w:szCs w:val="16"/>
              </w:rPr>
            </w:pPr>
            <w:r>
              <w:rPr>
                <w:rFonts w:ascii="Times New Roman" w:hAnsi="Times New Roman"/>
                <w:sz w:val="20"/>
                <w:szCs w:val="20"/>
              </w:rPr>
              <w:t xml:space="preserve">Рекомендуемое разведение: 1:50 - 1:200. </w:t>
            </w:r>
          </w:p>
        </w:tc>
        <w:tc>
          <w:tcPr>
            <w:tcW w:w="397"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1C52ED">
              <w:rPr>
                <w:rFonts w:ascii="Times New Roman" w:hAnsi="Times New Roman" w:cs="Times New Roman"/>
                <w:sz w:val="20"/>
                <w:szCs w:val="20"/>
              </w:rPr>
              <w:t>1</w:t>
            </w:r>
          </w:p>
        </w:tc>
        <w:tc>
          <w:tcPr>
            <w:tcW w:w="198" w:type="pct"/>
            <w:vAlign w:val="center"/>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r>
      <w:tr w:rsidR="00427BC4" w:rsidRPr="00435F35" w:rsidTr="00B72AC8">
        <w:trPr>
          <w:trHeight w:val="20"/>
        </w:trPr>
        <w:tc>
          <w:tcPr>
            <w:tcW w:w="161" w:type="pct"/>
            <w:vAlign w:val="center"/>
          </w:tcPr>
          <w:p w:rsidR="00427BC4" w:rsidRDefault="00427BC4" w:rsidP="00B72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05" w:type="pct"/>
            <w:tcBorders>
              <w:top w:val="single" w:sz="4" w:space="0" w:color="auto"/>
              <w:left w:val="single" w:sz="4" w:space="0" w:color="auto"/>
              <w:bottom w:val="single" w:sz="4" w:space="0" w:color="auto"/>
              <w:right w:val="single" w:sz="4" w:space="0" w:color="auto"/>
            </w:tcBorders>
            <w:vAlign w:val="center"/>
          </w:tcPr>
          <w:p w:rsidR="00427BC4" w:rsidRPr="00B2263A" w:rsidRDefault="00427BC4" w:rsidP="00B72AC8">
            <w:pPr>
              <w:snapToGrid w:val="0"/>
              <w:spacing w:after="0" w:line="240" w:lineRule="auto"/>
              <w:jc w:val="center"/>
              <w:rPr>
                <w:rFonts w:ascii="Times New Roman" w:eastAsia="Times New Roman" w:hAnsi="Times New Roman"/>
                <w:bCs/>
                <w:sz w:val="16"/>
                <w:szCs w:val="16"/>
              </w:rPr>
            </w:pPr>
            <w:r>
              <w:rPr>
                <w:rFonts w:ascii="Times New Roman" w:eastAsia="Times New Roman" w:hAnsi="Times New Roman" w:cs="Times New Roman"/>
                <w:sz w:val="20"/>
                <w:szCs w:val="20"/>
              </w:rPr>
              <w:t>Антитела кальдесмону</w:t>
            </w:r>
          </w:p>
        </w:tc>
        <w:tc>
          <w:tcPr>
            <w:tcW w:w="1924" w:type="pct"/>
            <w:tcBorders>
              <w:top w:val="single" w:sz="4" w:space="0" w:color="auto"/>
              <w:left w:val="single" w:sz="4" w:space="0" w:color="auto"/>
              <w:bottom w:val="single" w:sz="4" w:space="0" w:color="auto"/>
              <w:right w:val="single" w:sz="4" w:space="0" w:color="auto"/>
            </w:tcBorders>
            <w:vAlign w:val="center"/>
          </w:tcPr>
          <w:p w:rsidR="00427BC4" w:rsidRDefault="00427BC4" w:rsidP="00B72AC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Первичные антитела (мышиные моноклональные) к Caldesmon, клон  hHCD, жидкие концентрированные, не менее 1 мл. </w:t>
            </w:r>
            <w:r>
              <w:rPr>
                <w:rFonts w:ascii="Times New Roman" w:eastAsia="Times New Roman" w:hAnsi="Times New Roman" w:cs="Times New Roman"/>
                <w:sz w:val="20"/>
                <w:szCs w:val="20"/>
                <w:lang w:eastAsia="ru-RU"/>
              </w:rPr>
              <w:t>Предназначены для проведения in vitro диагностики методом иммуногистохимического анализа на парафиновых срезах фиксированного в формалине материала. Для автоматической и ручной постановки анализа. Реактивность: человек.</w:t>
            </w:r>
          </w:p>
          <w:p w:rsidR="00427BC4" w:rsidRPr="000A0725" w:rsidRDefault="00427BC4" w:rsidP="00B72AC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rPr>
              <w:t xml:space="preserve"> Рекомендуемое разведение: 1:50-1:100</w:t>
            </w:r>
          </w:p>
        </w:tc>
        <w:tc>
          <w:tcPr>
            <w:tcW w:w="397"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21.20.23.110</w:t>
            </w:r>
          </w:p>
        </w:tc>
        <w:tc>
          <w:tcPr>
            <w:tcW w:w="41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шт</w:t>
            </w:r>
          </w:p>
        </w:tc>
        <w:tc>
          <w:tcPr>
            <w:tcW w:w="193" w:type="pct"/>
            <w:tcBorders>
              <w:top w:val="single" w:sz="4" w:space="0" w:color="auto"/>
              <w:left w:val="single" w:sz="4" w:space="0" w:color="auto"/>
              <w:bottom w:val="single" w:sz="4" w:space="0" w:color="auto"/>
              <w:right w:val="single" w:sz="4" w:space="0" w:color="auto"/>
            </w:tcBorders>
            <w:vAlign w:val="center"/>
          </w:tcPr>
          <w:p w:rsidR="00427BC4" w:rsidRPr="001C52ED" w:rsidRDefault="00427BC4" w:rsidP="00B72AC8">
            <w:pPr>
              <w:snapToGrid w:val="0"/>
              <w:spacing w:after="0" w:line="240" w:lineRule="auto"/>
              <w:jc w:val="center"/>
              <w:rPr>
                <w:rFonts w:ascii="Times New Roman" w:hAnsi="Times New Roman" w:cs="Times New Roman"/>
                <w:sz w:val="20"/>
                <w:szCs w:val="20"/>
              </w:rPr>
            </w:pPr>
            <w:r w:rsidRPr="005D7910">
              <w:rPr>
                <w:rFonts w:ascii="Times New Roman" w:hAnsi="Times New Roman" w:cs="Times New Roman"/>
                <w:sz w:val="20"/>
                <w:szCs w:val="20"/>
              </w:rPr>
              <w:t>1</w:t>
            </w:r>
          </w:p>
        </w:tc>
        <w:tc>
          <w:tcPr>
            <w:tcW w:w="198" w:type="pct"/>
            <w:vAlign w:val="center"/>
          </w:tcPr>
          <w:p w:rsidR="00427BC4" w:rsidRPr="00435F35" w:rsidRDefault="00427BC4" w:rsidP="00B72AC8">
            <w:pPr>
              <w:spacing w:after="0" w:line="240" w:lineRule="auto"/>
              <w:jc w:val="center"/>
              <w:rPr>
                <w:rFonts w:ascii="Times New Roman" w:eastAsia="Times New Roman" w:hAnsi="Times New Roman" w:cs="Times New Roman"/>
                <w:sz w:val="20"/>
                <w:szCs w:val="20"/>
                <w:lang w:eastAsia="ru-RU"/>
              </w:rPr>
            </w:pPr>
          </w:p>
        </w:tc>
        <w:tc>
          <w:tcPr>
            <w:tcW w:w="220"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25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c>
          <w:tcPr>
            <w:tcW w:w="334" w:type="pct"/>
            <w:vAlign w:val="center"/>
          </w:tcPr>
          <w:p w:rsidR="00427BC4" w:rsidRPr="00435F35" w:rsidRDefault="00427BC4" w:rsidP="00B72AC8">
            <w:pPr>
              <w:spacing w:after="0" w:line="240" w:lineRule="auto"/>
              <w:jc w:val="right"/>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427BC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18" w:rsidRDefault="00922118">
      <w:pPr>
        <w:spacing w:after="0" w:line="240" w:lineRule="auto"/>
      </w:pPr>
      <w:r>
        <w:separator/>
      </w:r>
    </w:p>
  </w:endnote>
  <w:endnote w:type="continuationSeparator" w:id="0">
    <w:p w:rsidR="00922118" w:rsidRDefault="0092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0069" w:rsidRDefault="0099006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006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006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006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006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006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27BC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18" w:rsidRDefault="00922118">
      <w:pPr>
        <w:spacing w:after="0" w:line="240" w:lineRule="auto"/>
      </w:pPr>
      <w:r>
        <w:separator/>
      </w:r>
    </w:p>
  </w:footnote>
  <w:footnote w:type="continuationSeparator" w:id="0">
    <w:p w:rsidR="00922118" w:rsidRDefault="0092211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0069" w:rsidRDefault="0099006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0069" w:rsidRDefault="0099006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0069" w:rsidRDefault="0099006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7BC4"/>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2118"/>
    <w:rsid w:val="00924D15"/>
    <w:rsid w:val="00930289"/>
    <w:rsid w:val="00942FAD"/>
    <w:rsid w:val="00964265"/>
    <w:rsid w:val="00971FDB"/>
    <w:rsid w:val="009765E0"/>
    <w:rsid w:val="009840D8"/>
    <w:rsid w:val="00990069"/>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F79BD-96B4-47FC-A1DB-A8B6DA6B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2025-07-17T14:57:00Z</dcterms:created>
  <dcterms:modified xsi:type="dcterms:W3CDTF">2025-07-17T14:57:00Z</dcterms:modified>
</cp:coreProperties>
</file>