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05-07/1351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E01F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годности на момент поставки не менее 45 суток</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34" w:type="pct"/>
        <w:tblInd w:w="-34" w:type="dxa"/>
        <w:tblLook w:val="04A0" w:firstRow="1" w:lastRow="0" w:firstColumn="1" w:lastColumn="0" w:noHBand="0" w:noVBand="1"/>
      </w:tblPr>
      <w:tblGrid>
        <w:gridCol w:w="445"/>
        <w:gridCol w:w="1738"/>
        <w:gridCol w:w="1110"/>
        <w:gridCol w:w="984"/>
        <w:gridCol w:w="1598"/>
        <w:gridCol w:w="2210"/>
        <w:gridCol w:w="1395"/>
        <w:gridCol w:w="1800"/>
        <w:gridCol w:w="1073"/>
        <w:gridCol w:w="1341"/>
        <w:gridCol w:w="749"/>
        <w:gridCol w:w="585"/>
        <w:gridCol w:w="710"/>
      </w:tblGrid>
      <w:tr w:rsidR="00676C1D" w:rsidRPr="00F45047" w:rsidTr="00E90975">
        <w:trPr>
          <w:trHeight w:val="450"/>
        </w:trPr>
        <w:tc>
          <w:tcPr>
            <w:tcW w:w="141" w:type="pct"/>
            <w:vMerge w:val="restart"/>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 п/п</w:t>
            </w:r>
          </w:p>
        </w:tc>
        <w:tc>
          <w:tcPr>
            <w:tcW w:w="552" w:type="pct"/>
            <w:vMerge w:val="restart"/>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Наименование товара</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Код ОКПД 2 / КТРУ</w:t>
            </w:r>
          </w:p>
        </w:tc>
        <w:tc>
          <w:tcPr>
            <w:tcW w:w="313" w:type="pct"/>
            <w:vMerge w:val="restart"/>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Единица измерения товара</w:t>
            </w:r>
          </w:p>
        </w:tc>
        <w:tc>
          <w:tcPr>
            <w:tcW w:w="508" w:type="pct"/>
            <w:vMerge w:val="restart"/>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Наименование характеристики</w:t>
            </w:r>
          </w:p>
        </w:tc>
        <w:tc>
          <w:tcPr>
            <w:tcW w:w="702" w:type="pct"/>
            <w:vMerge w:val="restart"/>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Значения характеристик товара</w:t>
            </w:r>
          </w:p>
        </w:tc>
        <w:tc>
          <w:tcPr>
            <w:tcW w:w="443" w:type="pct"/>
            <w:vMerge w:val="restart"/>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Единица измерения характеристики</w:t>
            </w:r>
          </w:p>
        </w:tc>
        <w:tc>
          <w:tcPr>
            <w:tcW w:w="572" w:type="pct"/>
            <w:vMerge w:val="restart"/>
            <w:tcBorders>
              <w:top w:val="single" w:sz="8" w:space="0" w:color="000000"/>
              <w:left w:val="single" w:sz="8" w:space="0" w:color="000000"/>
              <w:bottom w:val="single" w:sz="8" w:space="0" w:color="000000"/>
              <w:right w:val="single" w:sz="4" w:space="0" w:color="auto"/>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Инструкция заказчика по указанию значений характеристик товара участником закупки</w:t>
            </w:r>
          </w:p>
        </w:tc>
        <w:tc>
          <w:tcPr>
            <w:tcW w:w="341" w:type="pct"/>
            <w:vMerge w:val="restart"/>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Количество</w:t>
            </w:r>
          </w:p>
        </w:tc>
        <w:tc>
          <w:tcPr>
            <w:tcW w:w="426" w:type="pct"/>
            <w:vMerge w:val="restart"/>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Страна происхождения Товара</w:t>
            </w:r>
          </w:p>
        </w:tc>
        <w:tc>
          <w:tcPr>
            <w:tcW w:w="238" w:type="pct"/>
            <w:vMerge w:val="restart"/>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Ставка НДС%</w:t>
            </w:r>
          </w:p>
        </w:tc>
        <w:tc>
          <w:tcPr>
            <w:tcW w:w="186" w:type="pct"/>
            <w:vMerge w:val="restart"/>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Цена за ед. без НДС</w:t>
            </w:r>
          </w:p>
        </w:tc>
        <w:tc>
          <w:tcPr>
            <w:tcW w:w="226" w:type="pct"/>
            <w:vMerge w:val="restart"/>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b/>
                <w:bCs/>
                <w:color w:val="000000"/>
                <w:sz w:val="16"/>
                <w:szCs w:val="16"/>
                <w:lang w:eastAsia="ru-RU"/>
              </w:rPr>
            </w:pPr>
            <w:r w:rsidRPr="00F45047">
              <w:rPr>
                <w:rFonts w:ascii="Times New Roman" w:eastAsia="Times New Roman" w:hAnsi="Times New Roman" w:cs="Times New Roman"/>
                <w:b/>
                <w:bCs/>
                <w:color w:val="000000"/>
                <w:sz w:val="16"/>
                <w:szCs w:val="16"/>
                <w:lang w:eastAsia="ru-RU"/>
              </w:rPr>
              <w:t>Сумма без НДС</w:t>
            </w:r>
          </w:p>
        </w:tc>
      </w:tr>
      <w:tr w:rsidR="00676C1D" w:rsidRPr="00F45047" w:rsidTr="00E90975">
        <w:trPr>
          <w:trHeight w:val="450"/>
        </w:trPr>
        <w:tc>
          <w:tcPr>
            <w:tcW w:w="141"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552"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313"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508"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702"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443"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572" w:type="pct"/>
            <w:vMerge/>
            <w:tcBorders>
              <w:top w:val="single" w:sz="8" w:space="0" w:color="000000"/>
              <w:left w:val="single" w:sz="8" w:space="0" w:color="000000"/>
              <w:bottom w:val="single" w:sz="8"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186"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226"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r>
      <w:tr w:rsidR="00676C1D" w:rsidRPr="00F45047" w:rsidTr="00E90975">
        <w:trPr>
          <w:trHeight w:val="450"/>
        </w:trPr>
        <w:tc>
          <w:tcPr>
            <w:tcW w:w="141"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552"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313"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508"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702"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443" w:type="pct"/>
            <w:vMerge/>
            <w:tcBorders>
              <w:top w:val="single" w:sz="8" w:space="0" w:color="000000"/>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572" w:type="pct"/>
            <w:vMerge/>
            <w:tcBorders>
              <w:top w:val="single" w:sz="8" w:space="0" w:color="000000"/>
              <w:left w:val="single" w:sz="8" w:space="0" w:color="000000"/>
              <w:bottom w:val="single" w:sz="8"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186"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c>
          <w:tcPr>
            <w:tcW w:w="226" w:type="pct"/>
            <w:vMerge/>
            <w:tcBorders>
              <w:top w:val="single" w:sz="4" w:space="0" w:color="auto"/>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b/>
                <w:bCs/>
                <w:color w:val="000000"/>
                <w:sz w:val="16"/>
                <w:szCs w:val="16"/>
                <w:lang w:eastAsia="ru-RU"/>
              </w:rPr>
            </w:pPr>
          </w:p>
        </w:tc>
      </w:tr>
      <w:tr w:rsidR="00676C1D" w:rsidRPr="00F45047" w:rsidTr="00E90975">
        <w:trPr>
          <w:trHeight w:val="199"/>
        </w:trPr>
        <w:tc>
          <w:tcPr>
            <w:tcW w:w="141" w:type="pct"/>
            <w:vMerge w:val="restart"/>
            <w:tcBorders>
              <w:top w:val="nil"/>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1</w:t>
            </w:r>
          </w:p>
        </w:tc>
        <w:tc>
          <w:tcPr>
            <w:tcW w:w="552"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Множественные аналиты газов крови/гемоксиметрия/ электролиты ИВД, реагент</w:t>
            </w:r>
          </w:p>
        </w:tc>
        <w:tc>
          <w:tcPr>
            <w:tcW w:w="353"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20.59.52.195/</w:t>
            </w:r>
          </w:p>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20.59.52.195-00000447</w:t>
            </w:r>
          </w:p>
        </w:tc>
        <w:tc>
          <w:tcPr>
            <w:tcW w:w="313"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штука</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Назначение</w:t>
            </w:r>
          </w:p>
        </w:tc>
        <w:tc>
          <w:tcPr>
            <w:tcW w:w="702"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Для анализаторов серии i-STAT</w:t>
            </w:r>
          </w:p>
        </w:tc>
        <w:tc>
          <w:tcPr>
            <w:tcW w:w="443"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p>
        </w:tc>
        <w:tc>
          <w:tcPr>
            <w:tcW w:w="572"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val="restart"/>
            <w:tcBorders>
              <w:top w:val="nil"/>
              <w:left w:val="single" w:sz="4" w:space="0" w:color="auto"/>
              <w:bottom w:val="single" w:sz="4" w:space="0" w:color="000000"/>
              <w:right w:val="single" w:sz="4" w:space="0" w:color="auto"/>
            </w:tcBorders>
            <w:noWrap/>
            <w:vAlign w:val="center"/>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Pr="00F45047">
              <w:rPr>
                <w:rFonts w:ascii="Times New Roman" w:eastAsia="Times New Roman" w:hAnsi="Times New Roman" w:cs="Times New Roman"/>
                <w:color w:val="000000"/>
                <w:sz w:val="16"/>
                <w:szCs w:val="16"/>
                <w:lang w:eastAsia="ru-RU"/>
              </w:rPr>
              <w:t>50</w:t>
            </w:r>
          </w:p>
        </w:tc>
        <w:tc>
          <w:tcPr>
            <w:tcW w:w="426"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c>
          <w:tcPr>
            <w:tcW w:w="186"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c>
          <w:tcPr>
            <w:tcW w:w="226"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r>
      <w:tr w:rsidR="00676C1D" w:rsidRPr="00F45047" w:rsidTr="00E90975">
        <w:trPr>
          <w:trHeight w:val="199"/>
        </w:trPr>
        <w:tc>
          <w:tcPr>
            <w:tcW w:w="141" w:type="pct"/>
            <w:vMerge/>
            <w:tcBorders>
              <w:top w:val="nil"/>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Измеряемые аналиты</w:t>
            </w:r>
          </w:p>
        </w:tc>
        <w:tc>
          <w:tcPr>
            <w:tcW w:w="70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color w:val="FF0000"/>
                <w:sz w:val="16"/>
                <w:szCs w:val="16"/>
              </w:rPr>
            </w:pPr>
            <w:r w:rsidRPr="00F45047">
              <w:rPr>
                <w:rFonts w:ascii="Times New Roman" w:hAnsi="Times New Roman"/>
                <w:sz w:val="16"/>
                <w:szCs w:val="16"/>
              </w:rPr>
              <w:t>pH, рСO2, рO2, Lac</w:t>
            </w:r>
          </w:p>
        </w:tc>
        <w:tc>
          <w:tcPr>
            <w:tcW w:w="443"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color w:val="FF0000"/>
                <w:sz w:val="16"/>
                <w:szCs w:val="16"/>
              </w:rPr>
            </w:pPr>
          </w:p>
        </w:tc>
        <w:tc>
          <w:tcPr>
            <w:tcW w:w="57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99"/>
        </w:trPr>
        <w:tc>
          <w:tcPr>
            <w:tcW w:w="141" w:type="pct"/>
            <w:vMerge/>
            <w:tcBorders>
              <w:top w:val="nil"/>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Количество выполняемых исследований</w:t>
            </w:r>
          </w:p>
        </w:tc>
        <w:tc>
          <w:tcPr>
            <w:tcW w:w="70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1.0</w:t>
            </w:r>
          </w:p>
        </w:tc>
        <w:tc>
          <w:tcPr>
            <w:tcW w:w="443"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Штука</w:t>
            </w:r>
          </w:p>
        </w:tc>
        <w:tc>
          <w:tcPr>
            <w:tcW w:w="57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450"/>
        </w:trPr>
        <w:tc>
          <w:tcPr>
            <w:tcW w:w="141" w:type="pct"/>
            <w:vMerge w:val="restart"/>
            <w:tcBorders>
              <w:top w:val="nil"/>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w:t>
            </w:r>
          </w:p>
        </w:tc>
        <w:tc>
          <w:tcPr>
            <w:tcW w:w="552"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Множественные аналиты газов крови/гемоксиметрия/ электролиты ИВД, реагент</w:t>
            </w:r>
          </w:p>
        </w:tc>
        <w:tc>
          <w:tcPr>
            <w:tcW w:w="353"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20.59.52.195/</w:t>
            </w:r>
          </w:p>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20.59.52.195-00000447</w:t>
            </w:r>
          </w:p>
        </w:tc>
        <w:tc>
          <w:tcPr>
            <w:tcW w:w="313"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штука</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Назначение</w:t>
            </w:r>
          </w:p>
          <w:p w:rsidR="00676C1D" w:rsidRPr="00F45047" w:rsidRDefault="00676C1D" w:rsidP="00E90975">
            <w:pPr>
              <w:pStyle w:val="af7"/>
              <w:rPr>
                <w:rFonts w:ascii="Times New Roman" w:hAnsi="Times New Roman"/>
                <w:sz w:val="16"/>
                <w:szCs w:val="16"/>
              </w:rPr>
            </w:pPr>
          </w:p>
        </w:tc>
        <w:tc>
          <w:tcPr>
            <w:tcW w:w="702" w:type="pct"/>
            <w:vMerge w:val="restar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Для анализаторов серии i-STAT</w:t>
            </w:r>
          </w:p>
          <w:p w:rsidR="00676C1D" w:rsidRPr="00F45047" w:rsidRDefault="00676C1D" w:rsidP="00E90975">
            <w:pPr>
              <w:pStyle w:val="af7"/>
              <w:jc w:val="center"/>
              <w:rPr>
                <w:rFonts w:ascii="Times New Roman" w:hAnsi="Times New Roman"/>
                <w:sz w:val="16"/>
                <w:szCs w:val="16"/>
              </w:rPr>
            </w:pPr>
          </w:p>
        </w:tc>
        <w:tc>
          <w:tcPr>
            <w:tcW w:w="443" w:type="pct"/>
            <w:vMerge w:val="restar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p>
          <w:p w:rsidR="00676C1D" w:rsidRPr="00F45047" w:rsidRDefault="00676C1D" w:rsidP="00E90975">
            <w:pPr>
              <w:pStyle w:val="af7"/>
              <w:jc w:val="center"/>
              <w:rPr>
                <w:rFonts w:ascii="Times New Roman" w:hAnsi="Times New Roman"/>
                <w:sz w:val="16"/>
                <w:szCs w:val="16"/>
              </w:rPr>
            </w:pPr>
          </w:p>
        </w:tc>
        <w:tc>
          <w:tcPr>
            <w:tcW w:w="572" w:type="pct"/>
            <w:vMerge w:val="restar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val="restart"/>
            <w:tcBorders>
              <w:top w:val="nil"/>
              <w:left w:val="single" w:sz="4" w:space="0" w:color="auto"/>
              <w:bottom w:val="single" w:sz="4" w:space="0" w:color="000000"/>
              <w:right w:val="single" w:sz="4" w:space="0" w:color="auto"/>
            </w:tcBorders>
            <w:noWrap/>
            <w:vAlign w:val="center"/>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w:t>
            </w:r>
          </w:p>
        </w:tc>
        <w:tc>
          <w:tcPr>
            <w:tcW w:w="426"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c>
          <w:tcPr>
            <w:tcW w:w="186"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c>
          <w:tcPr>
            <w:tcW w:w="226" w:type="pct"/>
            <w:vMerge w:val="restart"/>
            <w:tcBorders>
              <w:top w:val="nil"/>
              <w:left w:val="single" w:sz="4" w:space="0" w:color="auto"/>
              <w:bottom w:val="single" w:sz="4" w:space="0" w:color="000000"/>
              <w:right w:val="single" w:sz="4" w:space="0" w:color="auto"/>
            </w:tcBorders>
            <w:noWrap/>
            <w:vAlign w:val="bottom"/>
            <w:hideMark/>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 </w:t>
            </w:r>
          </w:p>
        </w:tc>
      </w:tr>
      <w:tr w:rsidR="00676C1D" w:rsidRPr="00F45047" w:rsidTr="00E90975">
        <w:trPr>
          <w:trHeight w:val="184"/>
        </w:trPr>
        <w:tc>
          <w:tcPr>
            <w:tcW w:w="141" w:type="pct"/>
            <w:vMerge/>
            <w:tcBorders>
              <w:top w:val="nil"/>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vMerge/>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color w:val="000000"/>
                <w:sz w:val="16"/>
                <w:szCs w:val="16"/>
              </w:rPr>
            </w:pPr>
          </w:p>
        </w:tc>
        <w:tc>
          <w:tcPr>
            <w:tcW w:w="702" w:type="pct"/>
            <w:vMerge/>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color w:val="000000"/>
                <w:sz w:val="16"/>
                <w:szCs w:val="16"/>
              </w:rPr>
            </w:pPr>
          </w:p>
        </w:tc>
        <w:tc>
          <w:tcPr>
            <w:tcW w:w="443" w:type="pct"/>
            <w:vMerge/>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color w:val="000000"/>
                <w:sz w:val="16"/>
                <w:szCs w:val="16"/>
              </w:rPr>
            </w:pPr>
          </w:p>
        </w:tc>
        <w:tc>
          <w:tcPr>
            <w:tcW w:w="572" w:type="pct"/>
            <w:vMerge/>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color w:val="000000"/>
                <w:sz w:val="16"/>
                <w:szCs w:val="16"/>
              </w:rPr>
            </w:pPr>
          </w:p>
        </w:tc>
        <w:tc>
          <w:tcPr>
            <w:tcW w:w="341"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99"/>
        </w:trPr>
        <w:tc>
          <w:tcPr>
            <w:tcW w:w="141"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Измеряемые аналиты</w:t>
            </w:r>
          </w:p>
        </w:tc>
        <w:tc>
          <w:tcPr>
            <w:tcW w:w="70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lang w:val="en-US"/>
              </w:rPr>
            </w:pPr>
            <w:r w:rsidRPr="00F45047">
              <w:rPr>
                <w:rFonts w:ascii="Times New Roman" w:hAnsi="Times New Roman"/>
                <w:sz w:val="16"/>
                <w:szCs w:val="16"/>
                <w:lang w:val="en-US"/>
              </w:rPr>
              <w:t xml:space="preserve">pH, </w:t>
            </w:r>
            <w:r w:rsidRPr="00F45047">
              <w:rPr>
                <w:rFonts w:ascii="Times New Roman" w:hAnsi="Times New Roman"/>
                <w:sz w:val="16"/>
                <w:szCs w:val="16"/>
              </w:rPr>
              <w:t>рС</w:t>
            </w:r>
            <w:r w:rsidRPr="00F45047">
              <w:rPr>
                <w:rFonts w:ascii="Times New Roman" w:hAnsi="Times New Roman"/>
                <w:sz w:val="16"/>
                <w:szCs w:val="16"/>
                <w:lang w:val="en-US"/>
              </w:rPr>
              <w:t xml:space="preserve">O2, </w:t>
            </w:r>
            <w:r w:rsidRPr="00F45047">
              <w:rPr>
                <w:rFonts w:ascii="Times New Roman" w:hAnsi="Times New Roman"/>
                <w:sz w:val="16"/>
                <w:szCs w:val="16"/>
              </w:rPr>
              <w:t>р</w:t>
            </w:r>
            <w:r w:rsidRPr="00F45047">
              <w:rPr>
                <w:rFonts w:ascii="Times New Roman" w:hAnsi="Times New Roman"/>
                <w:sz w:val="16"/>
                <w:szCs w:val="16"/>
                <w:lang w:val="en-US"/>
              </w:rPr>
              <w:t>O2, Na+, K+, Ca++, Glu, Hct</w:t>
            </w:r>
          </w:p>
        </w:tc>
        <w:tc>
          <w:tcPr>
            <w:tcW w:w="443"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lang w:val="en-US"/>
              </w:rPr>
            </w:pPr>
          </w:p>
        </w:tc>
        <w:tc>
          <w:tcPr>
            <w:tcW w:w="57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tcBorders>
              <w:top w:val="nil"/>
              <w:left w:val="single" w:sz="4" w:space="0" w:color="auto"/>
              <w:bottom w:val="single" w:sz="4" w:space="0" w:color="000000"/>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vMerge/>
            <w:tcBorders>
              <w:top w:val="nil"/>
              <w:left w:val="single" w:sz="4" w:space="0" w:color="auto"/>
              <w:bottom w:val="single" w:sz="4" w:space="0" w:color="000000"/>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tcBorders>
              <w:top w:val="nil"/>
              <w:left w:val="single" w:sz="4" w:space="0" w:color="auto"/>
              <w:bottom w:val="single" w:sz="4" w:space="0" w:color="000000"/>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99"/>
        </w:trPr>
        <w:tc>
          <w:tcPr>
            <w:tcW w:w="141" w:type="pct"/>
            <w:vMerge/>
            <w:tcBorders>
              <w:top w:val="nil"/>
              <w:left w:val="single" w:sz="8" w:space="0" w:color="000000"/>
              <w:bottom w:val="single" w:sz="8" w:space="0" w:color="000000"/>
              <w:right w:val="single" w:sz="8" w:space="0" w:color="000000"/>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vMerge/>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Количество выполняемых исследований</w:t>
            </w:r>
          </w:p>
        </w:tc>
        <w:tc>
          <w:tcPr>
            <w:tcW w:w="70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1.0</w:t>
            </w:r>
          </w:p>
        </w:tc>
        <w:tc>
          <w:tcPr>
            <w:tcW w:w="443"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Штука</w:t>
            </w:r>
          </w:p>
        </w:tc>
        <w:tc>
          <w:tcPr>
            <w:tcW w:w="57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99"/>
        </w:trPr>
        <w:tc>
          <w:tcPr>
            <w:tcW w:w="141" w:type="pct"/>
            <w:tcBorders>
              <w:top w:val="single" w:sz="4" w:space="0" w:color="auto"/>
              <w:left w:val="single" w:sz="8" w:space="0" w:color="000000"/>
              <w:bottom w:val="nil"/>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tcBorders>
              <w:top w:val="single" w:sz="4" w:space="0" w:color="auto"/>
              <w:left w:val="single" w:sz="8" w:space="0" w:color="000000"/>
              <w:bottom w:val="nil"/>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single" w:sz="8" w:space="0" w:color="000000"/>
              <w:bottom w:val="nil"/>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tcBorders>
              <w:top w:val="single" w:sz="4" w:space="0" w:color="auto"/>
              <w:left w:val="single" w:sz="8" w:space="0" w:color="000000"/>
              <w:bottom w:val="nil"/>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Назначение</w:t>
            </w:r>
          </w:p>
        </w:tc>
        <w:tc>
          <w:tcPr>
            <w:tcW w:w="702"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Для анализаторов серии i-STAT</w:t>
            </w:r>
          </w:p>
        </w:tc>
        <w:tc>
          <w:tcPr>
            <w:tcW w:w="443"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p>
        </w:tc>
        <w:tc>
          <w:tcPr>
            <w:tcW w:w="572"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tcBorders>
              <w:top w:val="single" w:sz="4" w:space="0" w:color="auto"/>
              <w:left w:val="single" w:sz="4" w:space="0" w:color="auto"/>
              <w:bottom w:val="nil"/>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tcBorders>
              <w:top w:val="single" w:sz="4" w:space="0" w:color="auto"/>
              <w:left w:val="single" w:sz="4" w:space="0" w:color="auto"/>
              <w:bottom w:val="nil"/>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tcBorders>
              <w:top w:val="single" w:sz="4" w:space="0" w:color="auto"/>
              <w:left w:val="single" w:sz="4" w:space="0" w:color="auto"/>
              <w:bottom w:val="nil"/>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tcBorders>
              <w:top w:val="single" w:sz="4" w:space="0" w:color="auto"/>
              <w:left w:val="single" w:sz="4" w:space="0" w:color="auto"/>
              <w:bottom w:val="nil"/>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tcBorders>
              <w:top w:val="single" w:sz="4" w:space="0" w:color="auto"/>
              <w:left w:val="single" w:sz="4" w:space="0" w:color="auto"/>
              <w:bottom w:val="nil"/>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64"/>
        </w:trPr>
        <w:tc>
          <w:tcPr>
            <w:tcW w:w="141" w:type="pct"/>
            <w:tcBorders>
              <w:top w:val="nil"/>
              <w:left w:val="single" w:sz="8" w:space="0" w:color="000000"/>
              <w:bottom w:val="nil"/>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p>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p>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p>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3</w:t>
            </w:r>
          </w:p>
        </w:tc>
        <w:tc>
          <w:tcPr>
            <w:tcW w:w="552"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Множественные аналиты газов крови/гемоксиметрия/ электролиты ИВД, реагент</w:t>
            </w:r>
          </w:p>
        </w:tc>
        <w:tc>
          <w:tcPr>
            <w:tcW w:w="353"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20.59.52.195/</w:t>
            </w:r>
          </w:p>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20.59.52.195-00000447</w:t>
            </w:r>
          </w:p>
        </w:tc>
        <w:tc>
          <w:tcPr>
            <w:tcW w:w="313" w:type="pct"/>
            <w:vMerge w:val="restart"/>
            <w:tcBorders>
              <w:top w:val="nil"/>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штука</w:t>
            </w:r>
          </w:p>
        </w:tc>
        <w:tc>
          <w:tcPr>
            <w:tcW w:w="508" w:type="pct"/>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Измеряемые аналиты</w:t>
            </w:r>
          </w:p>
        </w:tc>
        <w:tc>
          <w:tcPr>
            <w:tcW w:w="70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color w:val="FF0000"/>
                <w:sz w:val="16"/>
                <w:szCs w:val="16"/>
                <w:lang w:val="en-US"/>
              </w:rPr>
            </w:pPr>
            <w:r w:rsidRPr="00F45047">
              <w:rPr>
                <w:rFonts w:ascii="Times New Roman" w:hAnsi="Times New Roman"/>
                <w:sz w:val="16"/>
                <w:szCs w:val="16"/>
                <w:lang w:val="en-US"/>
              </w:rPr>
              <w:t>Na+, K+, Cl-, Ca++, Urea/BUN, Glu, Crea, Hct</w:t>
            </w:r>
          </w:p>
        </w:tc>
        <w:tc>
          <w:tcPr>
            <w:tcW w:w="443"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lang w:val="en-US"/>
              </w:rPr>
            </w:pPr>
          </w:p>
        </w:tc>
        <w:tc>
          <w:tcPr>
            <w:tcW w:w="57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val="restart"/>
            <w:tcBorders>
              <w:top w:val="nil"/>
              <w:left w:val="single" w:sz="4" w:space="0" w:color="auto"/>
              <w:right w:val="single" w:sz="4" w:space="0" w:color="auto"/>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426" w:type="pct"/>
            <w:vMerge w:val="restart"/>
            <w:tcBorders>
              <w:top w:val="nil"/>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nil"/>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val="restart"/>
            <w:tcBorders>
              <w:top w:val="nil"/>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val="restart"/>
            <w:tcBorders>
              <w:top w:val="nil"/>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99"/>
        </w:trPr>
        <w:tc>
          <w:tcPr>
            <w:tcW w:w="141" w:type="pct"/>
            <w:tcBorders>
              <w:top w:val="nil"/>
              <w:left w:val="single" w:sz="8" w:space="0" w:color="000000"/>
              <w:bottom w:val="nil"/>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vMerge/>
            <w:tcBorders>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Количество выполняемых исследований</w:t>
            </w:r>
          </w:p>
        </w:tc>
        <w:tc>
          <w:tcPr>
            <w:tcW w:w="70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1.0</w:t>
            </w:r>
          </w:p>
        </w:tc>
        <w:tc>
          <w:tcPr>
            <w:tcW w:w="443"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Штука</w:t>
            </w:r>
          </w:p>
        </w:tc>
        <w:tc>
          <w:tcPr>
            <w:tcW w:w="57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99"/>
        </w:trPr>
        <w:tc>
          <w:tcPr>
            <w:tcW w:w="141" w:type="pct"/>
            <w:vMerge w:val="restart"/>
            <w:tcBorders>
              <w:top w:val="single" w:sz="4" w:space="0" w:color="auto"/>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4</w:t>
            </w:r>
          </w:p>
        </w:tc>
        <w:tc>
          <w:tcPr>
            <w:tcW w:w="552" w:type="pct"/>
            <w:vMerge w:val="restart"/>
            <w:tcBorders>
              <w:top w:val="single" w:sz="4" w:space="0" w:color="auto"/>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Активированное время свертывания крови ИВД, реагент</w:t>
            </w:r>
          </w:p>
        </w:tc>
        <w:tc>
          <w:tcPr>
            <w:tcW w:w="353" w:type="pct"/>
            <w:vMerge w:val="restart"/>
            <w:tcBorders>
              <w:top w:val="single" w:sz="4" w:space="0" w:color="auto"/>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20.59.52.195/</w:t>
            </w:r>
          </w:p>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21.20.23.110-00004796</w:t>
            </w:r>
          </w:p>
        </w:tc>
        <w:tc>
          <w:tcPr>
            <w:tcW w:w="313" w:type="pct"/>
            <w:vMerge w:val="restart"/>
            <w:tcBorders>
              <w:top w:val="single" w:sz="4" w:space="0" w:color="auto"/>
              <w:left w:val="single" w:sz="8" w:space="0" w:color="000000"/>
              <w:bottom w:val="single" w:sz="8" w:space="0" w:color="000000"/>
              <w:right w:val="single" w:sz="8" w:space="0" w:color="000000"/>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sidRPr="00F45047">
              <w:rPr>
                <w:rFonts w:ascii="Times New Roman" w:eastAsia="Times New Roman" w:hAnsi="Times New Roman" w:cs="Times New Roman"/>
                <w:color w:val="000000"/>
                <w:sz w:val="16"/>
                <w:szCs w:val="16"/>
                <w:lang w:eastAsia="ru-RU"/>
              </w:rPr>
              <w:t>штука</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Назначение</w:t>
            </w:r>
          </w:p>
        </w:tc>
        <w:tc>
          <w:tcPr>
            <w:tcW w:w="702"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Для анализаторов серии i-STAT</w:t>
            </w:r>
          </w:p>
        </w:tc>
        <w:tc>
          <w:tcPr>
            <w:tcW w:w="443"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p>
        </w:tc>
        <w:tc>
          <w:tcPr>
            <w:tcW w:w="572" w:type="pct"/>
            <w:tcBorders>
              <w:top w:val="single" w:sz="4" w:space="0" w:color="auto"/>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Значение характеристики не может изменяться участником закупки</w:t>
            </w:r>
          </w:p>
        </w:tc>
        <w:tc>
          <w:tcPr>
            <w:tcW w:w="341" w:type="pct"/>
            <w:vMerge w:val="restart"/>
            <w:tcBorders>
              <w:top w:val="single" w:sz="4" w:space="0" w:color="auto"/>
              <w:left w:val="single" w:sz="4" w:space="0" w:color="auto"/>
              <w:right w:val="single" w:sz="4" w:space="0" w:color="auto"/>
            </w:tcBorders>
            <w:vAlign w:val="center"/>
          </w:tcPr>
          <w:p w:rsidR="00676C1D" w:rsidRPr="00F45047" w:rsidRDefault="00676C1D" w:rsidP="00E9097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426" w:type="pct"/>
            <w:vMerge w:val="restart"/>
            <w:tcBorders>
              <w:top w:val="single" w:sz="4" w:space="0" w:color="auto"/>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val="restart"/>
            <w:tcBorders>
              <w:top w:val="single" w:sz="4" w:space="0" w:color="auto"/>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val="restart"/>
            <w:tcBorders>
              <w:top w:val="single" w:sz="4" w:space="0" w:color="auto"/>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r w:rsidR="00676C1D" w:rsidRPr="00F45047" w:rsidTr="00E90975">
        <w:trPr>
          <w:trHeight w:val="199"/>
        </w:trPr>
        <w:tc>
          <w:tcPr>
            <w:tcW w:w="141" w:type="pct"/>
            <w:vMerge/>
            <w:tcBorders>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52" w:type="pct"/>
            <w:vMerge/>
            <w:tcBorders>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313" w:type="pct"/>
            <w:vMerge/>
            <w:tcBorders>
              <w:left w:val="single" w:sz="8" w:space="0" w:color="000000"/>
              <w:right w:val="single" w:sz="8" w:space="0" w:color="000000"/>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508" w:type="pct"/>
            <w:tcBorders>
              <w:top w:val="nil"/>
              <w:left w:val="single" w:sz="4" w:space="0" w:color="auto"/>
              <w:bottom w:val="single" w:sz="4" w:space="0" w:color="auto"/>
              <w:right w:val="single" w:sz="4" w:space="0" w:color="auto"/>
            </w:tcBorders>
            <w:shd w:val="clear" w:color="auto" w:fill="auto"/>
          </w:tcPr>
          <w:p w:rsidR="00676C1D" w:rsidRPr="00F45047" w:rsidRDefault="00676C1D" w:rsidP="00E90975">
            <w:pPr>
              <w:pStyle w:val="af7"/>
              <w:rPr>
                <w:rFonts w:ascii="Times New Roman" w:hAnsi="Times New Roman"/>
                <w:sz w:val="16"/>
                <w:szCs w:val="16"/>
              </w:rPr>
            </w:pPr>
            <w:r w:rsidRPr="00F45047">
              <w:rPr>
                <w:rFonts w:ascii="Times New Roman" w:hAnsi="Times New Roman"/>
                <w:sz w:val="16"/>
                <w:szCs w:val="16"/>
              </w:rPr>
              <w:t>Количество выполняемых исследований</w:t>
            </w:r>
          </w:p>
        </w:tc>
        <w:tc>
          <w:tcPr>
            <w:tcW w:w="70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 24.0  и  ≤ 25.0</w:t>
            </w:r>
          </w:p>
        </w:tc>
        <w:tc>
          <w:tcPr>
            <w:tcW w:w="443"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Штука</w:t>
            </w:r>
          </w:p>
        </w:tc>
        <w:tc>
          <w:tcPr>
            <w:tcW w:w="572" w:type="pct"/>
            <w:tcBorders>
              <w:top w:val="nil"/>
              <w:left w:val="nil"/>
              <w:bottom w:val="single" w:sz="4" w:space="0" w:color="auto"/>
              <w:right w:val="single" w:sz="4" w:space="0" w:color="auto"/>
            </w:tcBorders>
            <w:shd w:val="clear" w:color="auto" w:fill="auto"/>
          </w:tcPr>
          <w:p w:rsidR="00676C1D" w:rsidRPr="00F45047" w:rsidRDefault="00676C1D" w:rsidP="00E90975">
            <w:pPr>
              <w:pStyle w:val="af7"/>
              <w:jc w:val="center"/>
              <w:rPr>
                <w:rFonts w:ascii="Times New Roman" w:hAnsi="Times New Roman"/>
                <w:sz w:val="16"/>
                <w:szCs w:val="16"/>
              </w:rPr>
            </w:pPr>
            <w:r w:rsidRPr="00F45047">
              <w:rPr>
                <w:rFonts w:ascii="Times New Roman" w:hAnsi="Times New Roman"/>
                <w:sz w:val="16"/>
                <w:szCs w:val="16"/>
              </w:rPr>
              <w:t>Указывают в заявке конкретное значение характеристики</w:t>
            </w:r>
          </w:p>
        </w:tc>
        <w:tc>
          <w:tcPr>
            <w:tcW w:w="341"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426"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186"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vAlign w:val="center"/>
          </w:tcPr>
          <w:p w:rsidR="00676C1D" w:rsidRPr="00F45047" w:rsidRDefault="00676C1D" w:rsidP="00E90975">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676C1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DEC" w:rsidRDefault="00126DEC">
      <w:pPr>
        <w:spacing w:after="0" w:line="240" w:lineRule="auto"/>
      </w:pPr>
      <w:r>
        <w:separator/>
      </w:r>
    </w:p>
  </w:endnote>
  <w:endnote w:type="continuationSeparator" w:id="0">
    <w:p w:rsidR="00126DEC" w:rsidRDefault="0012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1F6" w:rsidRDefault="006E01F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01F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E01F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01F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01F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01F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76C1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DEC" w:rsidRDefault="00126DEC">
      <w:pPr>
        <w:spacing w:after="0" w:line="240" w:lineRule="auto"/>
      </w:pPr>
      <w:r>
        <w:separator/>
      </w:r>
    </w:p>
  </w:footnote>
  <w:footnote w:type="continuationSeparator" w:id="0">
    <w:p w:rsidR="00126DEC" w:rsidRDefault="00126DE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1F6" w:rsidRDefault="006E01F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1F6" w:rsidRDefault="006E01F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1F6" w:rsidRDefault="006E01F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6DE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6C1D"/>
    <w:rsid w:val="00680267"/>
    <w:rsid w:val="00680B51"/>
    <w:rsid w:val="00680DD0"/>
    <w:rsid w:val="00683724"/>
    <w:rsid w:val="00692F2A"/>
    <w:rsid w:val="006A0CDA"/>
    <w:rsid w:val="006B0C1A"/>
    <w:rsid w:val="006B558D"/>
    <w:rsid w:val="006C4866"/>
    <w:rsid w:val="006C6485"/>
    <w:rsid w:val="006D7951"/>
    <w:rsid w:val="006E01F6"/>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391D-443F-4A2F-9077-591B3621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2026-06-24T08:52:00Z</dcterms:created>
  <dcterms:modified xsi:type="dcterms:W3CDTF">2026-06-24T08:52:00Z</dcterms:modified>
</cp:coreProperties>
</file>