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03.12.2025 № 21.1-03/2293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C4CB5">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A347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генератора технеция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дата поставки 29.12.2025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Активность, на дату поставки, должна соответствовать заявке Заказчика</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эксплуатацию радиационных источников.</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Поставщик обязан обеспечить транспортировку радиационных источников организацией, имеющей соответствующую лицензию на транспортировку радиационных источников (располагать такой лицензией либо заключить договор с организацией, имеющей такую лицензию)  </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47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715"/>
        <w:gridCol w:w="1772"/>
        <w:gridCol w:w="2577"/>
        <w:gridCol w:w="708"/>
        <w:gridCol w:w="748"/>
        <w:gridCol w:w="1581"/>
        <w:gridCol w:w="1544"/>
        <w:gridCol w:w="808"/>
        <w:gridCol w:w="1207"/>
        <w:gridCol w:w="1039"/>
      </w:tblGrid>
      <w:tr w:rsidR="006C4CB5" w:rsidRPr="003C0B4E" w:rsidTr="00842E13">
        <w:tc>
          <w:tcPr>
            <w:tcW w:w="200"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w:t>
            </w:r>
          </w:p>
        </w:tc>
        <w:tc>
          <w:tcPr>
            <w:tcW w:w="601"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Наименование</w:t>
            </w:r>
          </w:p>
        </w:tc>
        <w:tc>
          <w:tcPr>
            <w:tcW w:w="1524" w:type="pct"/>
            <w:gridSpan w:val="2"/>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Технические характеристики</w:t>
            </w:r>
          </w:p>
        </w:tc>
        <w:tc>
          <w:tcPr>
            <w:tcW w:w="248"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Ед. изм.</w:t>
            </w:r>
          </w:p>
        </w:tc>
        <w:tc>
          <w:tcPr>
            <w:tcW w:w="262"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Кол-во</w:t>
            </w:r>
          </w:p>
        </w:tc>
        <w:tc>
          <w:tcPr>
            <w:tcW w:w="554" w:type="pct"/>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ОКПД2/</w:t>
            </w:r>
          </w:p>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КТРУ</w:t>
            </w:r>
          </w:p>
        </w:tc>
        <w:tc>
          <w:tcPr>
            <w:tcW w:w="541" w:type="pct"/>
            <w:shd w:val="clear" w:color="auto" w:fill="FFFF99"/>
          </w:tcPr>
          <w:p w:rsidR="006C4CB5" w:rsidRDefault="006C4CB5" w:rsidP="00CE148E">
            <w:pPr>
              <w:spacing w:after="0" w:line="240" w:lineRule="auto"/>
              <w:jc w:val="center"/>
              <w:rPr>
                <w:rFonts w:ascii="Times New Roman" w:eastAsia="Times New Roman" w:hAnsi="Times New Roman" w:cs="Times New Roman"/>
                <w:b/>
                <w:sz w:val="18"/>
                <w:szCs w:val="18"/>
              </w:rPr>
            </w:pPr>
            <w:r w:rsidRPr="003C0B4E">
              <w:rPr>
                <w:rFonts w:ascii="Times New Roman" w:eastAsia="Times New Roman" w:hAnsi="Times New Roman" w:cs="Times New Roman"/>
                <w:b/>
                <w:sz w:val="18"/>
                <w:szCs w:val="18"/>
              </w:rPr>
              <w:t xml:space="preserve">Страна </w:t>
            </w:r>
          </w:p>
          <w:p w:rsidR="006C4CB5" w:rsidRPr="003C0B4E" w:rsidRDefault="006C4CB5" w:rsidP="00CE148E">
            <w:pPr>
              <w:spacing w:after="0" w:line="240" w:lineRule="auto"/>
              <w:jc w:val="center"/>
              <w:rPr>
                <w:rFonts w:ascii="Times New Roman" w:eastAsia="Calibri" w:hAnsi="Times New Roman" w:cs="Times New Roman"/>
                <w:b/>
                <w:sz w:val="18"/>
                <w:szCs w:val="18"/>
              </w:rPr>
            </w:pPr>
            <w:r>
              <w:rPr>
                <w:rFonts w:ascii="Times New Roman" w:eastAsia="Times New Roman" w:hAnsi="Times New Roman" w:cs="Times New Roman"/>
                <w:b/>
                <w:sz w:val="18"/>
                <w:szCs w:val="18"/>
              </w:rPr>
              <w:t>происхождения</w:t>
            </w:r>
          </w:p>
        </w:tc>
        <w:tc>
          <w:tcPr>
            <w:tcW w:w="283" w:type="pc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r w:rsidRPr="003C0B4E">
              <w:rPr>
                <w:rFonts w:ascii="Times New Roman" w:eastAsia="Times New Roman" w:hAnsi="Times New Roman" w:cs="Times New Roman"/>
                <w:b/>
                <w:sz w:val="18"/>
                <w:szCs w:val="18"/>
              </w:rPr>
              <w:t xml:space="preserve">НДС </w:t>
            </w:r>
          </w:p>
          <w:p w:rsidR="006C4CB5" w:rsidRPr="003C0B4E" w:rsidRDefault="006C4CB5" w:rsidP="00CE148E">
            <w:pPr>
              <w:spacing w:after="0" w:line="240" w:lineRule="auto"/>
              <w:jc w:val="center"/>
              <w:rPr>
                <w:rFonts w:ascii="Times New Roman" w:eastAsia="Times New Roman" w:hAnsi="Times New Roman" w:cs="Times New Roman"/>
                <w:b/>
                <w:sz w:val="18"/>
                <w:szCs w:val="18"/>
              </w:rPr>
            </w:pPr>
            <w:r w:rsidRPr="003C0B4E">
              <w:rPr>
                <w:rFonts w:ascii="Times New Roman" w:eastAsia="Times New Roman" w:hAnsi="Times New Roman" w:cs="Times New Roman"/>
                <w:b/>
                <w:sz w:val="18"/>
                <w:szCs w:val="18"/>
              </w:rPr>
              <w:t>(%)</w:t>
            </w:r>
          </w:p>
        </w:tc>
        <w:tc>
          <w:tcPr>
            <w:tcW w:w="423" w:type="pct"/>
            <w:shd w:val="clear" w:color="auto" w:fill="FFFF99"/>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Times New Roman" w:hAnsi="Times New Roman" w:cs="Times New Roman"/>
                <w:b/>
                <w:sz w:val="18"/>
                <w:szCs w:val="18"/>
              </w:rPr>
              <w:t>Цена за ед. без НДС (руб)</w:t>
            </w:r>
          </w:p>
        </w:tc>
        <w:tc>
          <w:tcPr>
            <w:tcW w:w="364" w:type="pc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r w:rsidRPr="003C0B4E">
              <w:rPr>
                <w:rFonts w:ascii="Times New Roman" w:eastAsia="Times New Roman" w:hAnsi="Times New Roman" w:cs="Times New Roman"/>
                <w:b/>
                <w:sz w:val="18"/>
                <w:szCs w:val="18"/>
              </w:rPr>
              <w:t>Сумма без</w:t>
            </w:r>
          </w:p>
          <w:p w:rsidR="006C4CB5" w:rsidRPr="003C0B4E" w:rsidRDefault="006C4CB5" w:rsidP="00CE148E">
            <w:pPr>
              <w:spacing w:after="0" w:line="240" w:lineRule="auto"/>
              <w:jc w:val="center"/>
              <w:rPr>
                <w:rFonts w:ascii="Times New Roman" w:eastAsia="Times New Roman" w:hAnsi="Times New Roman" w:cs="Times New Roman"/>
                <w:b/>
                <w:sz w:val="18"/>
                <w:szCs w:val="18"/>
              </w:rPr>
            </w:pPr>
            <w:r w:rsidRPr="003C0B4E">
              <w:rPr>
                <w:rFonts w:ascii="Times New Roman" w:eastAsia="Times New Roman" w:hAnsi="Times New Roman" w:cs="Times New Roman"/>
                <w:b/>
                <w:sz w:val="18"/>
                <w:szCs w:val="18"/>
              </w:rPr>
              <w:t xml:space="preserve"> НДС </w:t>
            </w:r>
          </w:p>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Times New Roman" w:hAnsi="Times New Roman" w:cs="Times New Roman"/>
                <w:b/>
                <w:sz w:val="18"/>
                <w:szCs w:val="18"/>
              </w:rPr>
              <w:t>(руб)</w:t>
            </w:r>
          </w:p>
        </w:tc>
      </w:tr>
      <w:tr w:rsidR="006C4CB5" w:rsidRPr="003C0B4E" w:rsidTr="00842E13">
        <w:tc>
          <w:tcPr>
            <w:tcW w:w="200" w:type="pct"/>
            <w:vMerge w:val="restar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1</w:t>
            </w:r>
          </w:p>
        </w:tc>
        <w:tc>
          <w:tcPr>
            <w:tcW w:w="601" w:type="pct"/>
            <w:vMerge w:val="restart"/>
            <w:shd w:val="clear" w:color="FFFFFF" w:fill="auto"/>
          </w:tcPr>
          <w:p w:rsidR="006C4CB5" w:rsidRPr="003C0B4E" w:rsidRDefault="006C4CB5" w:rsidP="00CE148E">
            <w:pPr>
              <w:spacing w:after="0" w:line="240" w:lineRule="auto"/>
              <w:rPr>
                <w:rFonts w:ascii="Times New Roman" w:eastAsia="Calibri" w:hAnsi="Times New Roman" w:cs="Times New Roman"/>
                <w:b/>
                <w:sz w:val="18"/>
                <w:szCs w:val="18"/>
              </w:rPr>
            </w:pPr>
            <w:r w:rsidRPr="003C0B4E">
              <w:rPr>
                <w:rFonts w:ascii="Times New Roman" w:eastAsia="Calibri" w:hAnsi="Times New Roman" w:cs="Times New Roman"/>
                <w:b/>
                <w:sz w:val="18"/>
                <w:szCs w:val="18"/>
              </w:rPr>
              <w:t>Генератор радионуклидной системы</w:t>
            </w:r>
          </w:p>
        </w:tc>
        <w:tc>
          <w:tcPr>
            <w:tcW w:w="621"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 xml:space="preserve">Наименование </w:t>
            </w:r>
          </w:p>
          <w:p w:rsidR="006C4CB5" w:rsidRPr="003C0B4E" w:rsidRDefault="006C4CB5" w:rsidP="00CE148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характеристик</w:t>
            </w:r>
            <w:r w:rsidRPr="003C0B4E">
              <w:rPr>
                <w:rFonts w:ascii="Times New Roman" w:eastAsia="Calibri" w:hAnsi="Times New Roman" w:cs="Times New Roman"/>
                <w:b/>
                <w:sz w:val="18"/>
                <w:szCs w:val="18"/>
              </w:rPr>
              <w:t>и</w:t>
            </w:r>
          </w:p>
        </w:tc>
        <w:tc>
          <w:tcPr>
            <w:tcW w:w="903"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 xml:space="preserve">Значение </w:t>
            </w:r>
            <w:r>
              <w:rPr>
                <w:rFonts w:ascii="Times New Roman" w:eastAsia="Calibri" w:hAnsi="Times New Roman" w:cs="Times New Roman"/>
                <w:b/>
                <w:sz w:val="18"/>
                <w:szCs w:val="18"/>
              </w:rPr>
              <w:t>характеристик</w:t>
            </w:r>
            <w:r w:rsidRPr="003C0B4E">
              <w:rPr>
                <w:rFonts w:ascii="Times New Roman" w:eastAsia="Calibri" w:hAnsi="Times New Roman" w:cs="Times New Roman"/>
                <w:b/>
                <w:sz w:val="18"/>
                <w:szCs w:val="18"/>
              </w:rPr>
              <w:t>и</w:t>
            </w:r>
          </w:p>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248" w:type="pct"/>
            <w:vMerge w:val="restar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шт</w:t>
            </w:r>
          </w:p>
        </w:tc>
        <w:tc>
          <w:tcPr>
            <w:tcW w:w="262" w:type="pct"/>
            <w:vMerge w:val="restart"/>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554" w:type="pct"/>
            <w:vMerge w:val="restart"/>
          </w:tcPr>
          <w:p w:rsidR="006C4CB5" w:rsidRPr="003C0B4E" w:rsidRDefault="006C4CB5" w:rsidP="006C4CB5">
            <w:pPr>
              <w:spacing w:after="0" w:line="240" w:lineRule="auto"/>
              <w:jc w:val="center"/>
              <w:rPr>
                <w:rFonts w:ascii="Times New Roman" w:eastAsia="Calibri" w:hAnsi="Times New Roman" w:cs="Times New Roman"/>
                <w:b/>
                <w:sz w:val="18"/>
                <w:szCs w:val="18"/>
              </w:rPr>
            </w:pPr>
            <w:r w:rsidRPr="003C0B4E">
              <w:rPr>
                <w:rFonts w:ascii="Times New Roman" w:eastAsia="Calibri" w:hAnsi="Times New Roman" w:cs="Times New Roman"/>
                <w:b/>
                <w:sz w:val="18"/>
                <w:szCs w:val="18"/>
              </w:rPr>
              <w:t>26.60.11.129</w:t>
            </w:r>
          </w:p>
        </w:tc>
        <w:tc>
          <w:tcPr>
            <w:tcW w:w="541" w:type="pct"/>
            <w:vMerge w:val="restar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val="restar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val="restar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CE148E">
            <w:pPr>
              <w:tabs>
                <w:tab w:val="left" w:pos="1236"/>
              </w:tabs>
              <w:spacing w:after="0" w:line="240" w:lineRule="auto"/>
              <w:jc w:val="both"/>
              <w:rPr>
                <w:rFonts w:ascii="Times New Roman" w:eastAsia="Calibri" w:hAnsi="Times New Roman" w:cs="Times New Roman"/>
                <w:sz w:val="18"/>
                <w:szCs w:val="18"/>
              </w:rPr>
            </w:pPr>
            <w:r w:rsidRPr="003C0B4E">
              <w:rPr>
                <w:rFonts w:ascii="Times New Roman" w:eastAsia="Calibri" w:hAnsi="Times New Roman" w:cs="Times New Roman"/>
                <w:sz w:val="18"/>
                <w:szCs w:val="18"/>
              </w:rPr>
              <w:t>Наименование</w:t>
            </w:r>
          </w:p>
        </w:tc>
        <w:tc>
          <w:tcPr>
            <w:tcW w:w="903"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r w:rsidRPr="003C0B4E">
              <w:rPr>
                <w:rFonts w:ascii="Times New Roman" w:eastAsia="Calibri" w:hAnsi="Times New Roman" w:cs="Times New Roman"/>
                <w:sz w:val="18"/>
                <w:szCs w:val="18"/>
              </w:rPr>
              <w:t>Генератор технеция-99m</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CE148E">
            <w:pPr>
              <w:tabs>
                <w:tab w:val="left" w:pos="1236"/>
              </w:tabs>
              <w:spacing w:after="0" w:line="240" w:lineRule="auto"/>
              <w:rPr>
                <w:rFonts w:ascii="Times New Roman" w:eastAsia="Calibri" w:hAnsi="Times New Roman" w:cs="Times New Roman"/>
                <w:sz w:val="18"/>
                <w:szCs w:val="18"/>
              </w:rPr>
            </w:pPr>
            <w:r w:rsidRPr="003C0B4E">
              <w:rPr>
                <w:rFonts w:ascii="Times New Roman" w:eastAsia="Calibri" w:hAnsi="Times New Roman" w:cs="Times New Roman"/>
                <w:sz w:val="18"/>
                <w:szCs w:val="18"/>
              </w:rPr>
              <w:t>Тип</w:t>
            </w:r>
          </w:p>
        </w:tc>
        <w:tc>
          <w:tcPr>
            <w:tcW w:w="903"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r w:rsidRPr="003C0B4E">
              <w:rPr>
                <w:rFonts w:ascii="Times New Roman" w:eastAsia="Calibri" w:hAnsi="Times New Roman" w:cs="Times New Roman"/>
                <w:sz w:val="18"/>
                <w:szCs w:val="18"/>
              </w:rPr>
              <w:t>ГТ-</w:t>
            </w:r>
            <w:r>
              <w:rPr>
                <w:rFonts w:ascii="Times New Roman" w:eastAsia="Calibri" w:hAnsi="Times New Roman" w:cs="Times New Roman"/>
                <w:sz w:val="18"/>
                <w:szCs w:val="18"/>
              </w:rPr>
              <w:t>5</w:t>
            </w:r>
            <w:r w:rsidRPr="003C0B4E">
              <w:rPr>
                <w:rFonts w:ascii="Times New Roman" w:eastAsia="Calibri" w:hAnsi="Times New Roman" w:cs="Times New Roman"/>
                <w:sz w:val="18"/>
                <w:szCs w:val="18"/>
              </w:rPr>
              <w:t>К</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E45779">
            <w:pPr>
              <w:tabs>
                <w:tab w:val="left" w:pos="1236"/>
              </w:tabs>
              <w:spacing w:after="0" w:line="240" w:lineRule="auto"/>
              <w:rPr>
                <w:rFonts w:ascii="Times New Roman" w:eastAsia="Calibri" w:hAnsi="Times New Roman" w:cs="Times New Roman"/>
                <w:sz w:val="18"/>
                <w:szCs w:val="18"/>
              </w:rPr>
            </w:pPr>
            <w:r w:rsidRPr="003C0B4E">
              <w:rPr>
                <w:rFonts w:ascii="Times New Roman" w:eastAsia="Calibri" w:hAnsi="Times New Roman" w:cs="Times New Roman"/>
                <w:sz w:val="18"/>
                <w:szCs w:val="18"/>
              </w:rPr>
              <w:t xml:space="preserve">Активность на </w:t>
            </w:r>
            <w:r>
              <w:rPr>
                <w:rFonts w:ascii="Times New Roman" w:eastAsia="Calibri" w:hAnsi="Times New Roman" w:cs="Times New Roman"/>
                <w:sz w:val="18"/>
                <w:szCs w:val="18"/>
              </w:rPr>
              <w:t xml:space="preserve">дату </w:t>
            </w:r>
            <w:r w:rsidRPr="003C0B4E">
              <w:rPr>
                <w:rFonts w:ascii="Times New Roman" w:eastAsia="Calibri" w:hAnsi="Times New Roman" w:cs="Times New Roman"/>
                <w:sz w:val="18"/>
                <w:szCs w:val="18"/>
              </w:rPr>
              <w:t xml:space="preserve">поставки </w:t>
            </w:r>
          </w:p>
        </w:tc>
        <w:tc>
          <w:tcPr>
            <w:tcW w:w="903" w:type="pct"/>
            <w:shd w:val="clear" w:color="FFFFFF" w:fill="auto"/>
          </w:tcPr>
          <w:p w:rsidR="006C4CB5" w:rsidRPr="003C0B4E" w:rsidRDefault="006C4CB5" w:rsidP="00E4577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Определяется по согласованию сторон</w:t>
            </w:r>
            <w:r w:rsidR="00E45779">
              <w:rPr>
                <w:rFonts w:ascii="Times New Roman" w:eastAsia="Calibri" w:hAnsi="Times New Roman" w:cs="Times New Roman"/>
                <w:sz w:val="18"/>
                <w:szCs w:val="18"/>
              </w:rPr>
              <w:t xml:space="preserve"> с учетом необходимости калибровки на дату определенную покупателем  </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E45779" w:rsidRPr="003C0B4E" w:rsidTr="00842E13">
        <w:tc>
          <w:tcPr>
            <w:tcW w:w="200" w:type="pct"/>
            <w:vMerge/>
            <w:shd w:val="clear" w:color="FFFFFF" w:fill="auto"/>
          </w:tcPr>
          <w:p w:rsidR="00E45779" w:rsidRPr="003C0B4E" w:rsidRDefault="00E45779"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E45779" w:rsidRPr="003C0B4E" w:rsidRDefault="00E45779"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E45779" w:rsidRPr="003C0B4E" w:rsidRDefault="00E45779" w:rsidP="00E45779">
            <w:pPr>
              <w:tabs>
                <w:tab w:val="left" w:pos="1236"/>
              </w:tabs>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Активность на дату   калибровки (определенную покупателем) </w:t>
            </w:r>
          </w:p>
        </w:tc>
        <w:tc>
          <w:tcPr>
            <w:tcW w:w="903" w:type="pct"/>
            <w:shd w:val="clear" w:color="FFFFFF" w:fill="auto"/>
          </w:tcPr>
          <w:p w:rsidR="00E45779" w:rsidRDefault="00E45779" w:rsidP="006C4CB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19 КБк</w:t>
            </w:r>
          </w:p>
        </w:tc>
        <w:tc>
          <w:tcPr>
            <w:tcW w:w="248" w:type="pct"/>
            <w:vMerge/>
            <w:shd w:val="clear" w:color="FFFFFF" w:fill="auto"/>
          </w:tcPr>
          <w:p w:rsidR="00E45779" w:rsidRPr="003C0B4E" w:rsidRDefault="00E45779"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E45779" w:rsidRPr="003C0B4E" w:rsidRDefault="00E45779" w:rsidP="00CE148E">
            <w:pPr>
              <w:spacing w:after="0" w:line="240" w:lineRule="auto"/>
              <w:jc w:val="center"/>
              <w:rPr>
                <w:rFonts w:ascii="Times New Roman" w:eastAsia="Calibri" w:hAnsi="Times New Roman" w:cs="Times New Roman"/>
                <w:sz w:val="18"/>
                <w:szCs w:val="18"/>
              </w:rPr>
            </w:pPr>
          </w:p>
        </w:tc>
        <w:tc>
          <w:tcPr>
            <w:tcW w:w="554" w:type="pct"/>
            <w:vMerge/>
          </w:tcPr>
          <w:p w:rsidR="00E45779" w:rsidRPr="003C0B4E" w:rsidRDefault="00E45779"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E45779" w:rsidRPr="003C0B4E" w:rsidRDefault="00E45779"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E45779" w:rsidRPr="003C0B4E" w:rsidRDefault="00E45779"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E45779" w:rsidRPr="003C0B4E" w:rsidRDefault="00E45779"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E45779" w:rsidRPr="003C0B4E" w:rsidRDefault="00E45779"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CE148E">
            <w:pPr>
              <w:tabs>
                <w:tab w:val="left" w:pos="1236"/>
              </w:tabs>
              <w:spacing w:after="0" w:line="240" w:lineRule="auto"/>
              <w:jc w:val="both"/>
              <w:rPr>
                <w:rFonts w:ascii="Times New Roman" w:eastAsia="Calibri" w:hAnsi="Times New Roman" w:cs="Times New Roman"/>
                <w:sz w:val="18"/>
                <w:szCs w:val="18"/>
              </w:rPr>
            </w:pPr>
            <w:r w:rsidRPr="003C0B4E">
              <w:rPr>
                <w:rFonts w:ascii="Times New Roman" w:eastAsia="Calibri" w:hAnsi="Times New Roman" w:cs="Times New Roman"/>
                <w:sz w:val="18"/>
                <w:szCs w:val="18"/>
              </w:rPr>
              <w:t>Назначение</w:t>
            </w:r>
          </w:p>
        </w:tc>
        <w:tc>
          <w:tcPr>
            <w:tcW w:w="903" w:type="pct"/>
            <w:shd w:val="clear" w:color="FFFFFF" w:fill="auto"/>
          </w:tcPr>
          <w:p w:rsidR="006C4CB5" w:rsidRPr="00667922" w:rsidRDefault="006C4CB5" w:rsidP="00CE148E">
            <w:pPr>
              <w:spacing w:after="0" w:line="240" w:lineRule="auto"/>
              <w:jc w:val="center"/>
              <w:rPr>
                <w:rFonts w:ascii="Times New Roman" w:eastAsia="Calibri" w:hAnsi="Times New Roman" w:cs="Times New Roman"/>
                <w:sz w:val="18"/>
                <w:szCs w:val="18"/>
              </w:rPr>
            </w:pPr>
            <w:r w:rsidRPr="003C0B4E">
              <w:rPr>
                <w:rFonts w:ascii="Times New Roman" w:eastAsia="Calibri" w:hAnsi="Times New Roman" w:cs="Times New Roman"/>
                <w:sz w:val="18"/>
                <w:szCs w:val="18"/>
              </w:rPr>
              <w:t>Предназначен для многократного получения стерильного раствора пертехнетат</w:t>
            </w:r>
            <w:r>
              <w:rPr>
                <w:rFonts w:ascii="Times New Roman" w:eastAsia="Calibri" w:hAnsi="Times New Roman" w:cs="Times New Roman"/>
                <w:sz w:val="18"/>
                <w:szCs w:val="18"/>
              </w:rPr>
              <w:t>а натрия с технецием-99m (элюат</w:t>
            </w:r>
            <w:r w:rsidRPr="003C0B4E">
              <w:rPr>
                <w:rFonts w:ascii="Times New Roman" w:eastAsia="Calibri" w:hAnsi="Times New Roman" w:cs="Times New Roman"/>
                <w:sz w:val="18"/>
                <w:szCs w:val="18"/>
              </w:rPr>
              <w:t>)</w:t>
            </w:r>
            <w:r>
              <w:rPr>
                <w:rFonts w:ascii="Times New Roman" w:eastAsia="Calibri" w:hAnsi="Times New Roman" w:cs="Times New Roman"/>
                <w:sz w:val="18"/>
                <w:szCs w:val="18"/>
              </w:rPr>
              <w:t>, применяемого в качестве самостоятельного радиофармацевтического препарата, а так же для приготовления радиофармацевтических препаратов с технецием – 99</w:t>
            </w:r>
            <w:r>
              <w:rPr>
                <w:rFonts w:ascii="Times New Roman" w:eastAsia="Calibri" w:hAnsi="Times New Roman" w:cs="Times New Roman"/>
                <w:sz w:val="18"/>
                <w:szCs w:val="18"/>
                <w:lang w:val="en-US"/>
              </w:rPr>
              <w:t>m</w:t>
            </w:r>
            <w:r>
              <w:rPr>
                <w:rFonts w:ascii="Times New Roman" w:eastAsia="Calibri" w:hAnsi="Times New Roman" w:cs="Times New Roman"/>
                <w:sz w:val="18"/>
                <w:szCs w:val="18"/>
              </w:rPr>
              <w:t xml:space="preserve"> с помощью специальных наборов реагентов.</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CE148E">
            <w:pPr>
              <w:tabs>
                <w:tab w:val="left" w:pos="123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Технология</w:t>
            </w:r>
          </w:p>
        </w:tc>
        <w:tc>
          <w:tcPr>
            <w:tcW w:w="903" w:type="pct"/>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«двухигольчатый»</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r w:rsidR="006C4CB5" w:rsidRPr="003C0B4E" w:rsidTr="00842E13">
        <w:tc>
          <w:tcPr>
            <w:tcW w:w="200"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6C4CB5" w:rsidRPr="003C0B4E" w:rsidRDefault="006C4CB5" w:rsidP="00CE148E">
            <w:pPr>
              <w:spacing w:after="0" w:line="240" w:lineRule="auto"/>
              <w:rPr>
                <w:rFonts w:ascii="Times New Roman" w:eastAsia="Calibri" w:hAnsi="Times New Roman" w:cs="Times New Roman"/>
                <w:sz w:val="18"/>
                <w:szCs w:val="18"/>
              </w:rPr>
            </w:pPr>
          </w:p>
        </w:tc>
        <w:tc>
          <w:tcPr>
            <w:tcW w:w="621" w:type="pct"/>
            <w:shd w:val="clear" w:color="FFFFFF" w:fill="auto"/>
          </w:tcPr>
          <w:p w:rsidR="006C4CB5" w:rsidRPr="003C0B4E" w:rsidRDefault="006C4CB5" w:rsidP="00CE148E">
            <w:pPr>
              <w:tabs>
                <w:tab w:val="left" w:pos="123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Тип колонки</w:t>
            </w:r>
          </w:p>
        </w:tc>
        <w:tc>
          <w:tcPr>
            <w:tcW w:w="903" w:type="pct"/>
            <w:shd w:val="clear" w:color="FFFFFF" w:fill="auto"/>
          </w:tcPr>
          <w:p w:rsidR="006C4CB5" w:rsidRPr="00667922" w:rsidRDefault="006C4CB5" w:rsidP="00CE148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«сухая»</w:t>
            </w:r>
          </w:p>
        </w:tc>
        <w:tc>
          <w:tcPr>
            <w:tcW w:w="248"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262" w:type="pct"/>
            <w:vMerge/>
            <w:shd w:val="clear" w:color="FFFFFF" w:fill="auto"/>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54" w:type="pct"/>
            <w:vMerge/>
          </w:tcPr>
          <w:p w:rsidR="006C4CB5" w:rsidRPr="003C0B4E" w:rsidRDefault="006C4CB5" w:rsidP="00CE148E">
            <w:pPr>
              <w:spacing w:after="0" w:line="240" w:lineRule="auto"/>
              <w:jc w:val="center"/>
              <w:rPr>
                <w:rFonts w:ascii="Times New Roman" w:eastAsia="Calibri" w:hAnsi="Times New Roman" w:cs="Times New Roman"/>
                <w:sz w:val="18"/>
                <w:szCs w:val="18"/>
              </w:rPr>
            </w:pPr>
          </w:p>
        </w:tc>
        <w:tc>
          <w:tcPr>
            <w:tcW w:w="541"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28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423"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rsidR="006C4CB5" w:rsidRPr="003C0B4E" w:rsidRDefault="006C4CB5" w:rsidP="00CE148E">
            <w:pPr>
              <w:spacing w:after="0" w:line="240" w:lineRule="auto"/>
              <w:jc w:val="center"/>
              <w:rPr>
                <w:rFonts w:ascii="Times New Roman" w:eastAsia="Times New Roman" w:hAnsi="Times New Roman" w:cs="Times New Roman"/>
                <w:b/>
                <w:sz w:val="18"/>
                <w:szCs w:val="18"/>
              </w:rPr>
            </w:pPr>
          </w:p>
        </w:tc>
      </w:tr>
    </w:tbl>
    <w:p w:rsidR="00842E13" w:rsidRDefault="00842E13" w:rsidP="00842E13">
      <w:pPr>
        <w:rPr>
          <w:rFonts w:ascii="Times New Roman" w:hAnsi="Times New Roman" w:cs="Times New Roman"/>
          <w:b/>
          <w:sz w:val="28"/>
          <w:szCs w:val="28"/>
        </w:rPr>
      </w:pPr>
    </w:p>
    <w:p w:rsidR="00842E13" w:rsidRPr="00842E13" w:rsidRDefault="00842E13" w:rsidP="00842E13">
      <w:pPr>
        <w:rPr>
          <w:rFonts w:ascii="Times New Roman" w:hAnsi="Times New Roman" w:cs="Times New Roman"/>
          <w:b/>
          <w:sz w:val="28"/>
          <w:szCs w:val="28"/>
        </w:rPr>
      </w:pPr>
      <w:r w:rsidRPr="00842E13">
        <w:rPr>
          <w:rFonts w:ascii="Times New Roman" w:hAnsi="Times New Roman" w:cs="Times New Roman"/>
          <w:b/>
          <w:sz w:val="28"/>
          <w:szCs w:val="28"/>
        </w:rPr>
        <w:t xml:space="preserve">Требования к осуществлению перевозки Товара:  </w:t>
      </w:r>
    </w:p>
    <w:p w:rsidR="00170252" w:rsidRDefault="00842E13" w:rsidP="00842E13">
      <w:pPr>
        <w:rPr>
          <w:rFonts w:ascii="Times New Roman" w:hAnsi="Times New Roman" w:cs="Times New Roman"/>
          <w:b/>
          <w:sz w:val="28"/>
          <w:szCs w:val="28"/>
        </w:rPr>
      </w:pPr>
      <w:r w:rsidRPr="00842E13">
        <w:rPr>
          <w:rFonts w:ascii="Times New Roman" w:hAnsi="Times New Roman" w:cs="Times New Roman"/>
          <w:b/>
          <w:sz w:val="28"/>
          <w:szCs w:val="28"/>
        </w:rPr>
        <w:t>Поставщик обязан обеспечить транспортировку радиационных источников организацией, имеющей соответствующую лицензию на транспортировку радиационных источников (обладать такой лицензией лично либо заключить договор на перевозку с организацией, имеющей такую лицензию). Документы о соответствии указанному требованию Поставщик обязан предоставить по запросу Заказчика не позднее одного рабочего дня после получения такого запроса. Невыполнение данного требования является существенным нарушением условий Контракта, влекущим односторонний отказ Заказчика от исполнения Контракта.</w:t>
      </w:r>
    </w:p>
    <w:sectPr w:rsidR="00170252" w:rsidSect="006C4CB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5E" w:rsidRDefault="00CF575E">
      <w:pPr>
        <w:spacing w:after="0" w:line="240" w:lineRule="auto"/>
      </w:pPr>
      <w:r>
        <w:separator/>
      </w:r>
    </w:p>
  </w:endnote>
  <w:endnote w:type="continuationSeparator" w:id="0">
    <w:p w:rsidR="00CF575E" w:rsidRDefault="00CF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47E" w:rsidRDefault="003A347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A347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A347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A347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347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2E1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347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2E1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5E" w:rsidRDefault="00CF575E">
      <w:pPr>
        <w:spacing w:after="0" w:line="240" w:lineRule="auto"/>
      </w:pPr>
      <w:r>
        <w:separator/>
      </w:r>
    </w:p>
  </w:footnote>
  <w:footnote w:type="continuationSeparator" w:id="0">
    <w:p w:rsidR="00CF575E" w:rsidRDefault="00CF57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47E" w:rsidRDefault="003A347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47E" w:rsidRDefault="003A347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47E" w:rsidRDefault="003A347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347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289E"/>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4CB5"/>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2E13"/>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575E"/>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5779"/>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7F0A-1C20-47F4-B272-CF7777F9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2025-12-03T05:49:00Z</dcterms:created>
  <dcterms:modified xsi:type="dcterms:W3CDTF">2025-12-03T05:49:00Z</dcterms:modified>
</cp:coreProperties>
</file>