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05-07/344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084F42" w:rsidP="00637F5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Pr>
                  <w:rStyle w:val="ae"/>
                  <w:rFonts w:ascii="Times New Roman" w:hAnsi="Times New Roman" w:cs="Times New Roman"/>
                  <w:sz w:val="24"/>
                  <w:szCs w:val="24"/>
                </w:rPr>
                <w:t>4399541@niioncologii.ru</w:t>
              </w:r>
            </w:hyperlink>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114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855CDC" w:rsidP="00AE3138">
            <w:pPr>
              <w:ind w:right="-1"/>
              <w:jc w:val="both"/>
              <w:rPr>
                <w:rFonts w:ascii="Times New Roman" w:hAnsi="Times New Roman" w:cs="Times New Roman"/>
                <w:sz w:val="24"/>
                <w:szCs w:val="24"/>
              </w:rPr>
            </w:pPr>
            <w:r>
              <w:rPr>
                <w:rFonts w:ascii="Times New Roman" w:hAnsi="Times New Roman"/>
                <w:sz w:val="24"/>
                <w:szCs w:val="24"/>
              </w:rPr>
              <w:fldChar w:fldCharType="begin">
                <w:ffData>
                  <w:name w:val="КодОКПД2"/>
                  <w:enabled/>
                  <w:calcOnExit w:val="0"/>
                  <w:textInput>
                    <w:default w:val="КодОКПД2"/>
                  </w:textInput>
                </w:ffData>
              </w:fldChar>
            </w:r>
            <w:bookmarkStart w:id="6" w:name="КодОКПД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32.99</w:t>
            </w:r>
            <w:bookmarkEnd w:id="6"/>
            <w:r>
              <w:rPr>
                <w:rFonts w:ascii="Times New Roman" w:hAnsi="Times New Roman"/>
                <w:sz w:val="24"/>
                <w:szCs w:val="24"/>
              </w:rPr>
              <w:fldChar w:fldCharType="end"/>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page" w:horzAnchor="margin" w:tblpY="2632"/>
        <w:tblW w:w="16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0"/>
        <w:gridCol w:w="1275"/>
        <w:gridCol w:w="709"/>
        <w:gridCol w:w="1559"/>
        <w:gridCol w:w="1418"/>
        <w:gridCol w:w="1276"/>
        <w:gridCol w:w="1134"/>
        <w:gridCol w:w="312"/>
        <w:gridCol w:w="312"/>
      </w:tblGrid>
      <w:tr w:rsidR="003D45D1" w:rsidRPr="008D48DF" w:rsidTr="003D45D1">
        <w:trPr>
          <w:gridAfter w:val="2"/>
          <w:wAfter w:w="624" w:type="dxa"/>
        </w:trPr>
        <w:tc>
          <w:tcPr>
            <w:tcW w:w="534" w:type="dxa"/>
            <w:vAlign w:val="center"/>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sidRPr="008D48DF">
              <w:rPr>
                <w:rFonts w:ascii="Times New Roman" w:eastAsia="Times New Roman" w:hAnsi="Times New Roman" w:cs="Times New Roman"/>
                <w:b/>
                <w:sz w:val="24"/>
                <w:szCs w:val="24"/>
              </w:rPr>
              <w:t>№</w:t>
            </w:r>
          </w:p>
        </w:tc>
        <w:tc>
          <w:tcPr>
            <w:tcW w:w="2268" w:type="dxa"/>
            <w:vAlign w:val="center"/>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товара</w:t>
            </w:r>
          </w:p>
        </w:tc>
        <w:tc>
          <w:tcPr>
            <w:tcW w:w="5670" w:type="dxa"/>
            <w:vAlign w:val="center"/>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sidRPr="008D48DF">
              <w:rPr>
                <w:rFonts w:ascii="Times New Roman" w:eastAsia="Times New Roman" w:hAnsi="Times New Roman" w:cs="Times New Roman"/>
                <w:b/>
                <w:sz w:val="24"/>
                <w:szCs w:val="24"/>
              </w:rPr>
              <w:t>Технические характеристики товара</w:t>
            </w:r>
          </w:p>
        </w:tc>
        <w:tc>
          <w:tcPr>
            <w:tcW w:w="1275" w:type="dxa"/>
            <w:vAlign w:val="center"/>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sidRPr="008D48DF">
              <w:rPr>
                <w:rFonts w:ascii="Times New Roman" w:eastAsia="Times New Roman" w:hAnsi="Times New Roman" w:cs="Times New Roman"/>
                <w:b/>
                <w:sz w:val="24"/>
                <w:szCs w:val="24"/>
              </w:rPr>
              <w:t>Ед. изм.</w:t>
            </w:r>
          </w:p>
        </w:tc>
        <w:tc>
          <w:tcPr>
            <w:tcW w:w="709" w:type="dxa"/>
            <w:vAlign w:val="center"/>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Pr="008D48DF">
              <w:rPr>
                <w:rFonts w:ascii="Times New Roman" w:eastAsia="Times New Roman" w:hAnsi="Times New Roman" w:cs="Times New Roman"/>
                <w:b/>
                <w:sz w:val="24"/>
                <w:szCs w:val="24"/>
              </w:rPr>
              <w:t>во</w:t>
            </w:r>
          </w:p>
        </w:tc>
        <w:tc>
          <w:tcPr>
            <w:tcW w:w="1559" w:type="dxa"/>
            <w:shd w:val="clear" w:color="auto" w:fill="auto"/>
            <w:vAlign w:val="center"/>
          </w:tcPr>
          <w:p w:rsidR="003D45D1"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ОКПД2/</w:t>
            </w:r>
          </w:p>
          <w:p w:rsidR="003D45D1"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КТРУ</w:t>
            </w:r>
          </w:p>
        </w:tc>
        <w:tc>
          <w:tcPr>
            <w:tcW w:w="1418" w:type="dxa"/>
            <w:shd w:val="clear" w:color="auto" w:fill="FFFF99"/>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Страна происхождения</w:t>
            </w:r>
          </w:p>
        </w:tc>
        <w:tc>
          <w:tcPr>
            <w:tcW w:w="1276" w:type="dxa"/>
            <w:shd w:val="clear" w:color="auto" w:fill="FFFF99"/>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за ед.с НДС (руб</w:t>
            </w:r>
            <w:r w:rsidR="00C973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c>
          <w:tcPr>
            <w:tcW w:w="1134" w:type="dxa"/>
            <w:shd w:val="clear" w:color="auto" w:fill="FFFF99"/>
          </w:tcPr>
          <w:p w:rsidR="003D45D1" w:rsidRPr="008D48DF" w:rsidRDefault="003D45D1" w:rsidP="00CC6A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Сумма с НДС (руб</w:t>
            </w:r>
            <w:r w:rsidR="00C973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r>
      <w:tr w:rsidR="003D45D1" w:rsidRPr="008D48DF" w:rsidTr="003D45D1">
        <w:trPr>
          <w:gridAfter w:val="2"/>
          <w:wAfter w:w="624" w:type="dxa"/>
        </w:trPr>
        <w:tc>
          <w:tcPr>
            <w:tcW w:w="534" w:type="dxa"/>
          </w:tcPr>
          <w:p w:rsidR="003D45D1" w:rsidRPr="008D48DF" w:rsidRDefault="003D45D1" w:rsidP="00CC6AEA">
            <w:pPr>
              <w:spacing w:after="0" w:line="240" w:lineRule="auto"/>
              <w:rPr>
                <w:rFonts w:ascii="Times New Roman" w:eastAsia="Times New Roman" w:hAnsi="Times New Roman" w:cs="Times New Roman"/>
                <w:sz w:val="24"/>
                <w:szCs w:val="24"/>
              </w:rPr>
            </w:pPr>
            <w:r w:rsidRPr="008D48DF">
              <w:rPr>
                <w:rFonts w:ascii="Times New Roman" w:eastAsia="Times New Roman" w:hAnsi="Times New Roman" w:cs="Times New Roman"/>
                <w:sz w:val="24"/>
                <w:szCs w:val="24"/>
              </w:rPr>
              <w:t>1</w:t>
            </w:r>
          </w:p>
        </w:tc>
        <w:tc>
          <w:tcPr>
            <w:tcW w:w="2268" w:type="dxa"/>
          </w:tcPr>
          <w:p w:rsidR="003D45D1" w:rsidRPr="00AB0951" w:rsidRDefault="003D45D1" w:rsidP="00CC6AEA">
            <w:pPr>
              <w:rPr>
                <w:rFonts w:ascii="Times New Roman" w:eastAsia="Times New Roman" w:hAnsi="Times New Roman" w:cs="Times New Roman"/>
                <w:b/>
                <w:i/>
                <w:color w:val="000000"/>
                <w:sz w:val="24"/>
                <w:szCs w:val="24"/>
              </w:rPr>
            </w:pPr>
            <w:r w:rsidRPr="00275651">
              <w:rPr>
                <w:rFonts w:ascii="Times New Roman" w:eastAsia="Times New Roman" w:hAnsi="Times New Roman" w:cs="Times New Roman"/>
                <w:b/>
                <w:i/>
                <w:color w:val="000000"/>
                <w:sz w:val="24"/>
                <w:szCs w:val="24"/>
              </w:rPr>
              <w:t>Камера</w:t>
            </w:r>
          </w:p>
        </w:tc>
        <w:tc>
          <w:tcPr>
            <w:tcW w:w="5670" w:type="dxa"/>
          </w:tcPr>
          <w:p w:rsidR="003D45D1" w:rsidRPr="00275651" w:rsidRDefault="003D45D1" w:rsidP="00C973DF">
            <w:pPr>
              <w:spacing w:after="0" w:line="240" w:lineRule="auto"/>
              <w:jc w:val="both"/>
              <w:rPr>
                <w:rFonts w:ascii="Times New Roman" w:eastAsia="Times New Roman" w:hAnsi="Times New Roman" w:cs="Times New Roman"/>
                <w:sz w:val="24"/>
                <w:szCs w:val="24"/>
              </w:rPr>
            </w:pPr>
            <w:r w:rsidRPr="00275651">
              <w:rPr>
                <w:rFonts w:ascii="Times New Roman" w:eastAsia="Times New Roman" w:hAnsi="Times New Roman" w:cs="Times New Roman"/>
                <w:sz w:val="24"/>
                <w:szCs w:val="24"/>
              </w:rPr>
              <w:t>Одноразовые чашки должны быть совместимы с цитоцентрифугой Cytospin фирмы Thermo Shandon.</w:t>
            </w:r>
          </w:p>
          <w:p w:rsidR="003D45D1" w:rsidRPr="00275651" w:rsidRDefault="003D45D1" w:rsidP="00C973DF">
            <w:pPr>
              <w:spacing w:after="0" w:line="240" w:lineRule="auto"/>
              <w:jc w:val="both"/>
              <w:rPr>
                <w:rFonts w:ascii="Times New Roman" w:eastAsia="Times New Roman" w:hAnsi="Times New Roman" w:cs="Times New Roman"/>
                <w:sz w:val="24"/>
                <w:szCs w:val="24"/>
              </w:rPr>
            </w:pPr>
            <w:r w:rsidRPr="00275651">
              <w:rPr>
                <w:rFonts w:ascii="Times New Roman" w:eastAsia="Times New Roman" w:hAnsi="Times New Roman" w:cs="Times New Roman"/>
                <w:sz w:val="24"/>
                <w:szCs w:val="24"/>
              </w:rPr>
              <w:t>Пластик, из которого изготовлены камеры, должен быть устойчив к растворителям. Объем чашки должен быть не менее 6 мл. Камера должна быть укомплектована:</w:t>
            </w:r>
          </w:p>
          <w:p w:rsidR="003D45D1" w:rsidRPr="00275651" w:rsidRDefault="003D45D1" w:rsidP="00C973DF">
            <w:pPr>
              <w:spacing w:after="0" w:line="240" w:lineRule="auto"/>
              <w:jc w:val="both"/>
              <w:rPr>
                <w:rFonts w:ascii="Times New Roman" w:eastAsia="Times New Roman" w:hAnsi="Times New Roman" w:cs="Times New Roman"/>
                <w:sz w:val="24"/>
                <w:szCs w:val="24"/>
              </w:rPr>
            </w:pPr>
            <w:r w:rsidRPr="00275651">
              <w:rPr>
                <w:rFonts w:ascii="Times New Roman" w:eastAsia="Times New Roman" w:hAnsi="Times New Roman" w:cs="Times New Roman"/>
                <w:sz w:val="24"/>
                <w:szCs w:val="24"/>
              </w:rPr>
              <w:t>-  предметным стеклом со специальной прямоугольной лункой в центре стекла. Размер лунки должен быть 22х14,75 мм. Стекло должно быть прозрачным и иметь поле для записи шириной не менее 2 см. Размер стекла должен быть 75х25 мм;</w:t>
            </w:r>
          </w:p>
          <w:p w:rsidR="003D45D1" w:rsidRPr="00275651" w:rsidRDefault="003D45D1" w:rsidP="00C973DF">
            <w:pPr>
              <w:spacing w:after="0" w:line="240" w:lineRule="auto"/>
              <w:jc w:val="both"/>
              <w:rPr>
                <w:rFonts w:ascii="Times New Roman" w:eastAsia="Times New Roman" w:hAnsi="Times New Roman" w:cs="Times New Roman"/>
                <w:sz w:val="24"/>
                <w:szCs w:val="24"/>
              </w:rPr>
            </w:pPr>
            <w:r w:rsidRPr="00275651">
              <w:rPr>
                <w:rFonts w:ascii="Times New Roman" w:eastAsia="Times New Roman" w:hAnsi="Times New Roman" w:cs="Times New Roman"/>
                <w:sz w:val="24"/>
                <w:szCs w:val="24"/>
              </w:rPr>
              <w:t>- специальной пластиковой крышкой для закрывания чашки. Крышка должна плот</w:t>
            </w:r>
            <w:r w:rsidR="00C973DF">
              <w:rPr>
                <w:rFonts w:ascii="Times New Roman" w:eastAsia="Times New Roman" w:hAnsi="Times New Roman" w:cs="Times New Roman"/>
                <w:sz w:val="24"/>
                <w:szCs w:val="24"/>
              </w:rPr>
              <w:t xml:space="preserve">но прилегать к основанию чашки </w:t>
            </w:r>
            <w:r w:rsidRPr="00275651">
              <w:rPr>
                <w:rFonts w:ascii="Times New Roman" w:eastAsia="Times New Roman" w:hAnsi="Times New Roman" w:cs="Times New Roman"/>
                <w:sz w:val="24"/>
                <w:szCs w:val="24"/>
              </w:rPr>
              <w:t>и препятствовать проливанию реагентов.</w:t>
            </w:r>
          </w:p>
          <w:p w:rsidR="003D45D1" w:rsidRPr="00AB0951" w:rsidRDefault="003D45D1" w:rsidP="00C973DF">
            <w:pPr>
              <w:spacing w:after="0" w:line="240" w:lineRule="auto"/>
              <w:jc w:val="both"/>
              <w:rPr>
                <w:rFonts w:ascii="Times New Roman" w:eastAsia="Times New Roman" w:hAnsi="Times New Roman" w:cs="Times New Roman"/>
                <w:sz w:val="24"/>
                <w:szCs w:val="24"/>
              </w:rPr>
            </w:pPr>
            <w:r w:rsidRPr="00275651">
              <w:rPr>
                <w:rFonts w:ascii="Times New Roman" w:eastAsia="Times New Roman" w:hAnsi="Times New Roman" w:cs="Times New Roman"/>
                <w:sz w:val="24"/>
                <w:szCs w:val="24"/>
              </w:rPr>
              <w:t>Упаковка должна содержать в себе 25 чашек.</w:t>
            </w:r>
          </w:p>
        </w:tc>
        <w:tc>
          <w:tcPr>
            <w:tcW w:w="1275"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559" w:type="dxa"/>
            <w:shd w:val="clear" w:color="auto" w:fill="auto"/>
          </w:tcPr>
          <w:p w:rsidR="003D45D1" w:rsidRPr="00D57C6C" w:rsidRDefault="00D57C6C" w:rsidP="00CC6AEA">
            <w:pPr>
              <w:spacing w:line="240" w:lineRule="auto"/>
              <w:jc w:val="center"/>
              <w:rPr>
                <w:rFonts w:ascii="Times New Roman" w:eastAsia="Times New Roman" w:hAnsi="Times New Roman" w:cs="Times New Roman"/>
                <w:b/>
                <w:i/>
                <w:sz w:val="24"/>
                <w:szCs w:val="24"/>
              </w:rPr>
            </w:pPr>
            <w:r w:rsidRPr="00D57C6C">
              <w:rPr>
                <w:rFonts w:ascii="Times New Roman" w:eastAsia="Times New Roman" w:hAnsi="Times New Roman" w:cs="Times New Roman"/>
                <w:b/>
                <w:i/>
                <w:sz w:val="24"/>
                <w:szCs w:val="24"/>
              </w:rPr>
              <w:t>32.99.59.000</w:t>
            </w:r>
          </w:p>
        </w:tc>
        <w:tc>
          <w:tcPr>
            <w:tcW w:w="1418" w:type="dxa"/>
            <w:shd w:val="clear" w:color="auto" w:fill="FFFF99"/>
          </w:tcPr>
          <w:p w:rsidR="003D45D1" w:rsidRPr="00D57C6C" w:rsidRDefault="003D45D1" w:rsidP="00CC6AEA">
            <w:pPr>
              <w:spacing w:line="240" w:lineRule="auto"/>
              <w:jc w:val="center"/>
              <w:rPr>
                <w:rFonts w:ascii="Times New Roman" w:eastAsia="Times New Roman" w:hAnsi="Times New Roman" w:cs="Times New Roman"/>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Pr="008D48DF" w:rsidRDefault="003D45D1" w:rsidP="00CC6AEA">
            <w:pPr>
              <w:spacing w:after="0" w:line="240" w:lineRule="auto"/>
              <w:rPr>
                <w:rFonts w:ascii="Times New Roman" w:eastAsia="Times New Roman" w:hAnsi="Times New Roman" w:cs="Times New Roman"/>
                <w:sz w:val="24"/>
                <w:szCs w:val="24"/>
              </w:rPr>
            </w:pPr>
            <w:r w:rsidRPr="008D48DF">
              <w:rPr>
                <w:rFonts w:ascii="Times New Roman" w:eastAsia="Times New Roman" w:hAnsi="Times New Roman" w:cs="Times New Roman"/>
                <w:sz w:val="24"/>
                <w:szCs w:val="24"/>
              </w:rPr>
              <w:t>2</w:t>
            </w:r>
          </w:p>
        </w:tc>
        <w:tc>
          <w:tcPr>
            <w:tcW w:w="2268" w:type="dxa"/>
          </w:tcPr>
          <w:p w:rsidR="003D45D1" w:rsidRPr="00AB0951" w:rsidRDefault="003D45D1" w:rsidP="00CC6AEA">
            <w:pPr>
              <w:rPr>
                <w:rFonts w:ascii="Times New Roman" w:eastAsia="Times New Roman" w:hAnsi="Times New Roman" w:cs="Times New Roman"/>
                <w:b/>
                <w:i/>
                <w:sz w:val="24"/>
                <w:szCs w:val="24"/>
              </w:rPr>
            </w:pPr>
            <w:r w:rsidRPr="00275651">
              <w:rPr>
                <w:rFonts w:ascii="Times New Roman" w:eastAsia="Times New Roman" w:hAnsi="Times New Roman" w:cs="Times New Roman"/>
                <w:b/>
                <w:i/>
                <w:sz w:val="24"/>
                <w:szCs w:val="24"/>
              </w:rPr>
              <w:t>Контейнер транспортный</w:t>
            </w:r>
          </w:p>
        </w:tc>
        <w:tc>
          <w:tcPr>
            <w:tcW w:w="5670" w:type="dxa"/>
          </w:tcPr>
          <w:p w:rsidR="003D45D1" w:rsidRPr="00275651" w:rsidRDefault="003D45D1" w:rsidP="00C973DF">
            <w:pPr>
              <w:snapToGrid w:val="0"/>
              <w:spacing w:line="240" w:lineRule="auto"/>
              <w:jc w:val="both"/>
              <w:rPr>
                <w:rFonts w:ascii="Times New Roman" w:eastAsia="Times New Roman" w:hAnsi="Times New Roman" w:cs="Times New Roman"/>
                <w:sz w:val="24"/>
                <w:szCs w:val="24"/>
                <w:lang w:eastAsia="ru-RU"/>
              </w:rPr>
            </w:pPr>
            <w:r w:rsidRPr="00275651">
              <w:rPr>
                <w:rFonts w:ascii="Times New Roman" w:eastAsia="Times New Roman" w:hAnsi="Times New Roman" w:cs="Times New Roman"/>
                <w:sz w:val="24"/>
                <w:szCs w:val="24"/>
                <w:lang w:eastAsia="ru-RU"/>
              </w:rPr>
              <w:t xml:space="preserve">Транспортный контейнер для хранения и транспортировки препаратов на предметных стёклах. </w:t>
            </w:r>
          </w:p>
          <w:p w:rsidR="003D45D1" w:rsidRPr="00275651" w:rsidRDefault="003D45D1" w:rsidP="00C973DF">
            <w:pPr>
              <w:snapToGrid w:val="0"/>
              <w:spacing w:line="240" w:lineRule="auto"/>
              <w:jc w:val="both"/>
              <w:rPr>
                <w:rFonts w:ascii="Times New Roman" w:eastAsia="Times New Roman" w:hAnsi="Times New Roman" w:cs="Times New Roman"/>
                <w:sz w:val="24"/>
                <w:szCs w:val="24"/>
                <w:lang w:eastAsia="ru-RU"/>
              </w:rPr>
            </w:pPr>
            <w:r w:rsidRPr="00275651">
              <w:rPr>
                <w:rFonts w:ascii="Times New Roman" w:eastAsia="Times New Roman" w:hAnsi="Times New Roman" w:cs="Times New Roman"/>
                <w:sz w:val="24"/>
                <w:szCs w:val="24"/>
                <w:lang w:eastAsia="ru-RU"/>
              </w:rPr>
              <w:t xml:space="preserve">Шестигранный тубус с несъёмной крышкой и направляющими для размещения до 2 стёкол друг над другом с исключением возможности соприкосновения. </w:t>
            </w:r>
          </w:p>
          <w:p w:rsidR="003D45D1" w:rsidRPr="00AB0951" w:rsidRDefault="003D45D1" w:rsidP="00C973DF">
            <w:pPr>
              <w:snapToGrid w:val="0"/>
              <w:spacing w:line="240" w:lineRule="auto"/>
              <w:jc w:val="both"/>
              <w:rPr>
                <w:rFonts w:ascii="Times New Roman" w:eastAsia="Times New Roman" w:hAnsi="Times New Roman" w:cs="Times New Roman"/>
                <w:sz w:val="24"/>
                <w:szCs w:val="24"/>
                <w:lang w:eastAsia="ru-RU"/>
              </w:rPr>
            </w:pPr>
            <w:r w:rsidRPr="00275651">
              <w:rPr>
                <w:rFonts w:ascii="Times New Roman" w:eastAsia="Times New Roman" w:hAnsi="Times New Roman" w:cs="Times New Roman"/>
                <w:sz w:val="24"/>
                <w:szCs w:val="24"/>
                <w:lang w:eastAsia="ru-RU"/>
              </w:rPr>
              <w:t>Материал: пластмасса голубого цвета.</w:t>
            </w:r>
          </w:p>
        </w:tc>
        <w:tc>
          <w:tcPr>
            <w:tcW w:w="1275"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shd w:val="clear" w:color="auto" w:fill="auto"/>
          </w:tcPr>
          <w:p w:rsidR="003D45D1" w:rsidRPr="002B3A78" w:rsidRDefault="003D45D1" w:rsidP="00CC6AEA">
            <w:pPr>
              <w:spacing w:line="240" w:lineRule="auto"/>
              <w:jc w:val="center"/>
              <w:rPr>
                <w:rFonts w:ascii="Times New Roman" w:eastAsia="Times New Roman" w:hAnsi="Times New Roman" w:cs="Times New Roman"/>
                <w:b/>
                <w:i/>
                <w:color w:val="000000"/>
                <w:sz w:val="24"/>
                <w:szCs w:val="24"/>
              </w:rPr>
            </w:pPr>
            <w:r w:rsidRPr="00275651">
              <w:rPr>
                <w:rFonts w:ascii="Times New Roman" w:eastAsia="Times New Roman" w:hAnsi="Times New Roman" w:cs="Times New Roman"/>
                <w:b/>
                <w:i/>
                <w:color w:val="000000"/>
                <w:sz w:val="24"/>
                <w:szCs w:val="24"/>
              </w:rPr>
              <w:t>32.99.59.000</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Pr="008D48DF" w:rsidRDefault="003D45D1" w:rsidP="00CC6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3D45D1" w:rsidRPr="00AB0951" w:rsidRDefault="003D45D1" w:rsidP="00CC6AEA">
            <w:pPr>
              <w:rPr>
                <w:rFonts w:ascii="Times New Roman" w:eastAsia="Times New Roman" w:hAnsi="Times New Roman" w:cs="Times New Roman"/>
                <w:b/>
                <w:i/>
                <w:sz w:val="24"/>
                <w:szCs w:val="24"/>
              </w:rPr>
            </w:pPr>
            <w:r w:rsidRPr="00275651">
              <w:rPr>
                <w:rFonts w:ascii="Times New Roman" w:eastAsia="Times New Roman" w:hAnsi="Times New Roman" w:cs="Times New Roman"/>
                <w:b/>
                <w:i/>
                <w:sz w:val="24"/>
                <w:szCs w:val="24"/>
              </w:rPr>
              <w:t>Окрашивание по Романовскому ИВД, набор</w:t>
            </w:r>
          </w:p>
        </w:tc>
        <w:tc>
          <w:tcPr>
            <w:tcW w:w="5670" w:type="dxa"/>
          </w:tcPr>
          <w:p w:rsidR="003D45D1" w:rsidRPr="00275651" w:rsidRDefault="003D45D1" w:rsidP="00C973DF">
            <w:pPr>
              <w:snapToGrid w:val="0"/>
              <w:spacing w:line="240" w:lineRule="auto"/>
              <w:jc w:val="both"/>
              <w:rPr>
                <w:rFonts w:ascii="Times New Roman" w:eastAsia="Times New Roman" w:hAnsi="Times New Roman" w:cs="Times New Roman"/>
                <w:sz w:val="24"/>
                <w:szCs w:val="24"/>
                <w:lang w:eastAsia="ru-RU"/>
              </w:rPr>
            </w:pPr>
            <w:r w:rsidRPr="00275651">
              <w:rPr>
                <w:rFonts w:ascii="Times New Roman" w:eastAsia="Times New Roman" w:hAnsi="Times New Roman" w:cs="Times New Roman"/>
                <w:sz w:val="24"/>
                <w:szCs w:val="24"/>
                <w:lang w:eastAsia="ru-RU"/>
              </w:rPr>
              <w:t xml:space="preserve">Набор химических реактивов и других связанных с ними материалов для окраски по методике Романовского (Romanowsky), предназначенный для визуализации гематопоэтических клеток, хромосом, паразитов крови и других патогенов крови в </w:t>
            </w:r>
            <w:r w:rsidRPr="00275651">
              <w:rPr>
                <w:rFonts w:ascii="Times New Roman" w:eastAsia="Times New Roman" w:hAnsi="Times New Roman" w:cs="Times New Roman"/>
                <w:sz w:val="24"/>
                <w:szCs w:val="24"/>
                <w:lang w:eastAsia="ru-RU"/>
              </w:rPr>
              <w:lastRenderedPageBreak/>
              <w:t>клиническом образце.</w:t>
            </w:r>
          </w:p>
          <w:p w:rsidR="003D45D1" w:rsidRPr="00275651" w:rsidRDefault="003D45D1" w:rsidP="00C973DF">
            <w:pPr>
              <w:snapToGrid w:val="0"/>
              <w:spacing w:line="240" w:lineRule="auto"/>
              <w:jc w:val="both"/>
              <w:rPr>
                <w:rFonts w:ascii="Times New Roman" w:eastAsia="Times New Roman" w:hAnsi="Times New Roman" w:cs="Times New Roman"/>
                <w:sz w:val="24"/>
                <w:szCs w:val="24"/>
                <w:lang w:eastAsia="ru-RU"/>
              </w:rPr>
            </w:pPr>
            <w:r w:rsidRPr="00275651">
              <w:rPr>
                <w:rFonts w:ascii="Times New Roman" w:eastAsia="Times New Roman" w:hAnsi="Times New Roman" w:cs="Times New Roman"/>
                <w:sz w:val="24"/>
                <w:szCs w:val="24"/>
                <w:lang w:eastAsia="ru-RU"/>
              </w:rPr>
              <w:t xml:space="preserve">Количество выполняемых тестов: от 1000 (шт) ; </w:t>
            </w:r>
          </w:p>
          <w:p w:rsidR="003D45D1" w:rsidRPr="00275651" w:rsidRDefault="003D45D1" w:rsidP="00C973DF">
            <w:pPr>
              <w:snapToGrid w:val="0"/>
              <w:spacing w:line="240" w:lineRule="auto"/>
              <w:jc w:val="both"/>
              <w:rPr>
                <w:rFonts w:ascii="Times New Roman" w:eastAsia="Times New Roman" w:hAnsi="Times New Roman" w:cs="Times New Roman"/>
                <w:sz w:val="24"/>
                <w:szCs w:val="24"/>
                <w:lang w:eastAsia="ru-RU"/>
              </w:rPr>
            </w:pPr>
            <w:r w:rsidRPr="00275651">
              <w:rPr>
                <w:rFonts w:ascii="Times New Roman" w:eastAsia="Times New Roman" w:hAnsi="Times New Roman" w:cs="Times New Roman"/>
                <w:sz w:val="24"/>
                <w:szCs w:val="24"/>
                <w:lang w:eastAsia="ru-RU"/>
              </w:rPr>
              <w:t>Назначение: Для ручной постановки.</w:t>
            </w:r>
          </w:p>
          <w:p w:rsidR="003D45D1" w:rsidRPr="00AB0951" w:rsidRDefault="003D45D1" w:rsidP="00C973DF">
            <w:pPr>
              <w:snapToGrid w:val="0"/>
              <w:spacing w:line="240" w:lineRule="auto"/>
              <w:jc w:val="both"/>
              <w:rPr>
                <w:rFonts w:ascii="Times New Roman" w:eastAsia="Times New Roman" w:hAnsi="Times New Roman" w:cs="Times New Roman"/>
                <w:b/>
                <w:i/>
                <w:sz w:val="24"/>
                <w:szCs w:val="24"/>
                <w:lang w:eastAsia="ru-RU"/>
              </w:rPr>
            </w:pPr>
            <w:r w:rsidRPr="00275651">
              <w:rPr>
                <w:rFonts w:ascii="Times New Roman" w:eastAsia="Times New Roman" w:hAnsi="Times New Roman" w:cs="Times New Roman"/>
                <w:sz w:val="24"/>
                <w:szCs w:val="24"/>
                <w:lang w:eastAsia="ru-RU"/>
              </w:rPr>
              <w:t>Реагент использоваться как при массовых клинических анализах, так и при сложных гематологических и цитологических исследованиях. Обязательно применение с забуференной водой. Краситель представляет собой 0,76 % раствор сухого азур-эозина по Романовскому (Гимза азур-эозина метиленового синего) в метаноле и глицерине, в соотношении 1:1. Окрашивание после фиксации рабочим раствором, приготовленным из расчета 1:10-1:15 (краситель-забуференная вода) в течение 15 мин. Рабочий раствор годен 6-8 часов</w:t>
            </w:r>
          </w:p>
        </w:tc>
        <w:tc>
          <w:tcPr>
            <w:tcW w:w="1275" w:type="dxa"/>
          </w:tcPr>
          <w:p w:rsidR="003D45D1" w:rsidRDefault="00F0632A"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набор</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559" w:type="dxa"/>
            <w:shd w:val="clear" w:color="auto" w:fill="auto"/>
          </w:tcPr>
          <w:p w:rsidR="003D45D1" w:rsidRPr="002B3A78" w:rsidRDefault="003D45D1" w:rsidP="00CC6AEA">
            <w:pPr>
              <w:spacing w:line="240" w:lineRule="auto"/>
              <w:jc w:val="center"/>
              <w:rPr>
                <w:rFonts w:ascii="Times New Roman" w:eastAsia="Times New Roman" w:hAnsi="Times New Roman" w:cs="Times New Roman"/>
                <w:b/>
                <w:i/>
                <w:color w:val="000000"/>
                <w:sz w:val="24"/>
                <w:szCs w:val="24"/>
              </w:rPr>
            </w:pPr>
            <w:r w:rsidRPr="00275651">
              <w:rPr>
                <w:rFonts w:ascii="Times New Roman" w:eastAsia="Times New Roman" w:hAnsi="Times New Roman" w:cs="Times New Roman"/>
                <w:b/>
                <w:i/>
                <w:color w:val="000000"/>
                <w:sz w:val="24"/>
                <w:szCs w:val="24"/>
              </w:rPr>
              <w:t>21.20.23.110-00005714</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Pr="008D48DF" w:rsidRDefault="003D45D1" w:rsidP="00CC6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68" w:type="dxa"/>
          </w:tcPr>
          <w:p w:rsidR="003D45D1" w:rsidRPr="00AB0951" w:rsidRDefault="003D45D1" w:rsidP="00CC6AEA">
            <w:pPr>
              <w:rPr>
                <w:rFonts w:ascii="Times New Roman" w:eastAsia="Times New Roman" w:hAnsi="Times New Roman" w:cs="Times New Roman"/>
                <w:b/>
                <w:i/>
                <w:sz w:val="24"/>
                <w:szCs w:val="24"/>
              </w:rPr>
            </w:pPr>
            <w:r w:rsidRPr="00275651">
              <w:rPr>
                <w:rFonts w:ascii="Times New Roman" w:eastAsia="Times New Roman" w:hAnsi="Times New Roman" w:cs="Times New Roman"/>
                <w:b/>
                <w:i/>
                <w:sz w:val="24"/>
                <w:szCs w:val="24"/>
              </w:rPr>
              <w:t>Мешочки биопсийные</w:t>
            </w:r>
          </w:p>
        </w:tc>
        <w:tc>
          <w:tcPr>
            <w:tcW w:w="5670" w:type="dxa"/>
          </w:tcPr>
          <w:p w:rsidR="003D45D1" w:rsidRPr="003D45D1" w:rsidRDefault="003D45D1" w:rsidP="00CC6AEA">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Мешки размером не менее 45х65 мм. Материал  мешков должен быть устойчив к действию ксилола, толуола, этилового спирта, воды. Количество в упаковке не менее 1000</w:t>
            </w:r>
            <w:r w:rsidR="00C973DF">
              <w:rPr>
                <w:rFonts w:ascii="Times New Roman" w:eastAsia="Times New Roman" w:hAnsi="Times New Roman" w:cs="Times New Roman"/>
                <w:sz w:val="24"/>
                <w:szCs w:val="24"/>
                <w:lang w:eastAsia="ru-RU"/>
              </w:rPr>
              <w:t xml:space="preserve"> </w:t>
            </w:r>
            <w:r w:rsidRPr="003D45D1">
              <w:rPr>
                <w:rFonts w:ascii="Times New Roman" w:eastAsia="Times New Roman" w:hAnsi="Times New Roman" w:cs="Times New Roman"/>
                <w:sz w:val="24"/>
                <w:szCs w:val="24"/>
                <w:lang w:eastAsia="ru-RU"/>
              </w:rPr>
              <w:t>шт</w:t>
            </w:r>
          </w:p>
        </w:tc>
        <w:tc>
          <w:tcPr>
            <w:tcW w:w="1275" w:type="dxa"/>
          </w:tcPr>
          <w:p w:rsidR="003D45D1"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3D45D1" w:rsidRPr="002B3A78" w:rsidRDefault="008E4AFD" w:rsidP="008E4AFD">
            <w:pPr>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32.99.59.000</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Default="003D45D1" w:rsidP="00CC6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3D45D1" w:rsidRPr="00AB0951" w:rsidRDefault="003D45D1" w:rsidP="00CC6A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w:t>
            </w:r>
            <w:r w:rsidRPr="003D45D1">
              <w:rPr>
                <w:rFonts w:ascii="Times New Roman" w:eastAsia="Times New Roman" w:hAnsi="Times New Roman" w:cs="Times New Roman"/>
                <w:b/>
                <w:i/>
                <w:sz w:val="24"/>
                <w:szCs w:val="24"/>
              </w:rPr>
              <w:t>нтитела к CD10</w:t>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Первичные антитела (мышиные моноклональные) к CD10 , клон  56C6, концентрированные. Предназначены для проведения иммуногистохимических исследований на парафиновых срезах фиксированного в формалине материала. Реактивность: человек Рекомендуемое разведение: 1:10-1:50. Формат: пластиковый флакон не более 0,1 мл.</w:t>
            </w:r>
          </w:p>
        </w:tc>
        <w:tc>
          <w:tcPr>
            <w:tcW w:w="1275" w:type="dxa"/>
          </w:tcPr>
          <w:p w:rsidR="003D45D1"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3D45D1" w:rsidRPr="002B3A78" w:rsidRDefault="003D45D1" w:rsidP="00CC6AEA">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21.20.23.110</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Default="003D45D1" w:rsidP="00CC6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Pr>
          <w:p w:rsidR="003D45D1" w:rsidRPr="00AB0951" w:rsidRDefault="003D45D1" w:rsidP="00CC6A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w:t>
            </w:r>
            <w:r w:rsidRPr="003D45D1">
              <w:rPr>
                <w:rFonts w:ascii="Times New Roman" w:eastAsia="Times New Roman" w:hAnsi="Times New Roman" w:cs="Times New Roman"/>
                <w:b/>
                <w:i/>
                <w:sz w:val="24"/>
                <w:szCs w:val="24"/>
              </w:rPr>
              <w:t>нтитела к цитокератину 20</w:t>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 xml:space="preserve">Первичные антитела (мышиные моноклональные) к Cytokeratin 20, клон  Ks20.8, концентрированные. Предназначены для проведения </w:t>
            </w:r>
            <w:r w:rsidRPr="003D45D1">
              <w:rPr>
                <w:rFonts w:ascii="Times New Roman" w:eastAsia="Times New Roman" w:hAnsi="Times New Roman" w:cs="Times New Roman"/>
                <w:sz w:val="24"/>
                <w:szCs w:val="24"/>
                <w:lang w:eastAsia="ru-RU"/>
              </w:rPr>
              <w:lastRenderedPageBreak/>
              <w:t>иммуногистохимических исследований на парафиновых срезах фиксированного в формалине материала. Реактивность: человек Рекомендуемое разведение: 1:200 - 1:500. Формат: пластиковый флакон не более 0,5 мл.</w:t>
            </w:r>
          </w:p>
        </w:tc>
        <w:tc>
          <w:tcPr>
            <w:tcW w:w="1275" w:type="dxa"/>
          </w:tcPr>
          <w:p w:rsidR="003D45D1"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шт</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3D45D1" w:rsidRPr="002B3A78" w:rsidRDefault="003D45D1" w:rsidP="008E4AFD">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21.20.23.110</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Default="003D45D1" w:rsidP="00CC6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68" w:type="dxa"/>
          </w:tcPr>
          <w:p w:rsidR="003D45D1" w:rsidRPr="00AB0951" w:rsidRDefault="003D45D1" w:rsidP="00CC6AEA">
            <w:pPr>
              <w:rPr>
                <w:rFonts w:ascii="Times New Roman" w:eastAsia="Times New Roman" w:hAnsi="Times New Roman" w:cs="Times New Roman"/>
                <w:b/>
                <w:i/>
                <w:sz w:val="24"/>
                <w:szCs w:val="24"/>
              </w:rPr>
            </w:pPr>
            <w:r w:rsidRPr="003D45D1">
              <w:rPr>
                <w:rFonts w:ascii="Times New Roman" w:eastAsia="Times New Roman" w:hAnsi="Times New Roman" w:cs="Times New Roman"/>
                <w:b/>
                <w:i/>
                <w:sz w:val="24"/>
                <w:szCs w:val="24"/>
              </w:rPr>
              <w:t>Набор диагностический для цитологии</w:t>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Cintec PLUS Kit. Набор для ранней диагностики рака шейки матки, 100 тестов.</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Основан на выявлении антигенов p16 INK4a и Ki-67 методом иммуноцитохимии при помощи автоматических устройств Ventana BenchMark.</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 xml:space="preserve">В состав набора входят: </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1. Коктейль антител: мышиные противочеловеческие антитела к p16INK4a и кроличьи противочеловеческие антитела к Ki-67,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2. NP-меченный козий антикроличий иммуноглобулин с консервантом ProClin® 300,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3.Мышиное моноклональное anti-NP-меченное, содержащее АР третичное антитело в буфере (&lt; 20 мкг/мл), содержащем белок с консервантом ProClin® 300,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4. Фосфат нафтола (&lt; 1 %) с консервантом ProClin® 300,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5. Fast Red хромоген (&lt; 1 %) в ацетатном буфере с консервантом ProClin® 300,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 xml:space="preserve">6. Раствор (&lt; 5 %) перекиси водорода, диспенсер 10 </w:t>
            </w:r>
            <w:r w:rsidRPr="003D45D1">
              <w:rPr>
                <w:rFonts w:ascii="Times New Roman" w:eastAsia="Times New Roman" w:hAnsi="Times New Roman" w:cs="Times New Roman"/>
                <w:sz w:val="24"/>
                <w:szCs w:val="24"/>
                <w:lang w:eastAsia="ru-RU"/>
              </w:rPr>
              <w:lastRenderedPageBreak/>
              <w:t>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7. HQ-меченный козий антимышиный иммуноглобулин IgG (&lt; 40 мкг/мл) в буфере, содержащем белок с консервантом ProClin® 300,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8. Мышиное моноклональное anti-HQ-меченное, содержащее HRP третичное антитело в буфере (&lt; 10 мкг/мл), содержащем белок с консервантом ProClin® 300, диспенсер 10 мл;</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9. ДАБ хромоген диспенсер 10 мл</w:t>
            </w:r>
          </w:p>
          <w:p w:rsidR="003D45D1" w:rsidRPr="002B3A78" w:rsidRDefault="003D45D1" w:rsidP="00C973DF">
            <w:pPr>
              <w:snapToGrid w:val="0"/>
              <w:spacing w:line="240" w:lineRule="auto"/>
              <w:jc w:val="both"/>
              <w:rPr>
                <w:rFonts w:ascii="Times New Roman" w:eastAsia="Times New Roman" w:hAnsi="Times New Roman" w:cs="Times New Roman"/>
                <w:b/>
                <w:i/>
                <w:sz w:val="24"/>
                <w:szCs w:val="24"/>
                <w:lang w:eastAsia="ru-RU"/>
              </w:rPr>
            </w:pPr>
            <w:r w:rsidRPr="003D45D1">
              <w:rPr>
                <w:rFonts w:ascii="Times New Roman" w:eastAsia="Times New Roman" w:hAnsi="Times New Roman" w:cs="Times New Roman"/>
                <w:sz w:val="24"/>
                <w:szCs w:val="24"/>
                <w:lang w:eastAsia="ru-RU"/>
              </w:rPr>
              <w:t>10. ДАБ буфер субстрат, диспенсер 10 мл</w:t>
            </w:r>
          </w:p>
        </w:tc>
        <w:tc>
          <w:tcPr>
            <w:tcW w:w="1275" w:type="dxa"/>
          </w:tcPr>
          <w:p w:rsidR="003D45D1"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шт</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3D45D1" w:rsidRPr="002B3A78" w:rsidRDefault="003D45D1" w:rsidP="00CC6AEA">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21.20.23.110</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Default="003D45D1" w:rsidP="00CC6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8" w:type="dxa"/>
          </w:tcPr>
          <w:p w:rsidR="003D45D1" w:rsidRPr="00AB0951" w:rsidRDefault="003D45D1" w:rsidP="00CC6AEA">
            <w:pPr>
              <w:rPr>
                <w:rFonts w:ascii="Times New Roman" w:eastAsia="Times New Roman" w:hAnsi="Times New Roman" w:cs="Times New Roman"/>
                <w:b/>
                <w:i/>
                <w:sz w:val="24"/>
                <w:szCs w:val="24"/>
              </w:rPr>
            </w:pPr>
            <w:r w:rsidRPr="003D45D1">
              <w:rPr>
                <w:rFonts w:ascii="Times New Roman" w:eastAsia="Times New Roman" w:hAnsi="Times New Roman" w:cs="Times New Roman"/>
                <w:b/>
                <w:i/>
                <w:sz w:val="24"/>
                <w:szCs w:val="24"/>
              </w:rPr>
              <w:t>Набор реагентов для окраски урогенитальных мазков по Папаниколау</w:t>
            </w:r>
          </w:p>
        </w:tc>
        <w:tc>
          <w:tcPr>
            <w:tcW w:w="5670" w:type="dxa"/>
          </w:tcPr>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Набор реагентов для окраски урогенитальных мазков по Папаниколау</w:t>
            </w:r>
          </w:p>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Состав набора:</w:t>
            </w:r>
          </w:p>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1. Гематоксилин Гарриса - не менее 100 мл</w:t>
            </w:r>
          </w:p>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2. Краситель Папаниколау - не менее 100 мл</w:t>
            </w:r>
          </w:p>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3. Краситель оранжевый G6 - не менее 100 мл</w:t>
            </w:r>
          </w:p>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4. Литий углекислый - не менее 3 мл</w:t>
            </w:r>
          </w:p>
          <w:p w:rsidR="003D45D1" w:rsidRPr="003D45D1" w:rsidRDefault="003D45D1" w:rsidP="003D45D1">
            <w:pPr>
              <w:snapToGrid w:val="0"/>
              <w:spacing w:line="240" w:lineRule="auto"/>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Набор рассчитан на 100 тестов.</w:t>
            </w:r>
          </w:p>
        </w:tc>
        <w:tc>
          <w:tcPr>
            <w:tcW w:w="1275" w:type="dxa"/>
          </w:tcPr>
          <w:p w:rsidR="003D45D1"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w:t>
            </w:r>
          </w:p>
        </w:tc>
        <w:tc>
          <w:tcPr>
            <w:tcW w:w="709" w:type="dxa"/>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3D45D1" w:rsidRPr="002B3A78" w:rsidRDefault="003D45D1" w:rsidP="008E4AFD">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21.20.23.110</w:t>
            </w:r>
          </w:p>
        </w:tc>
        <w:tc>
          <w:tcPr>
            <w:tcW w:w="1418"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CC6AEA">
            <w:pPr>
              <w:spacing w:line="240" w:lineRule="auto"/>
              <w:jc w:val="center"/>
              <w:rPr>
                <w:rFonts w:ascii="Times New Roman" w:eastAsia="Times New Roman" w:hAnsi="Times New Roman" w:cs="Times New Roman"/>
                <w:color w:val="000000"/>
                <w:sz w:val="24"/>
                <w:szCs w:val="24"/>
              </w:rPr>
            </w:pPr>
          </w:p>
        </w:tc>
      </w:tr>
      <w:tr w:rsidR="003D45D1" w:rsidRPr="008D48DF" w:rsidTr="003D45D1">
        <w:tc>
          <w:tcPr>
            <w:tcW w:w="534" w:type="dxa"/>
          </w:tcPr>
          <w:p w:rsidR="003D45D1" w:rsidRDefault="003D45D1" w:rsidP="003D4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68" w:type="dxa"/>
          </w:tcPr>
          <w:p w:rsidR="003D45D1" w:rsidRPr="00AB0951" w:rsidRDefault="003D45D1" w:rsidP="003D45D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w:t>
            </w:r>
            <w:r w:rsidRPr="003D45D1">
              <w:rPr>
                <w:rFonts w:ascii="Times New Roman" w:eastAsia="Times New Roman" w:hAnsi="Times New Roman" w:cs="Times New Roman"/>
                <w:b/>
                <w:i/>
                <w:sz w:val="24"/>
                <w:szCs w:val="24"/>
              </w:rPr>
              <w:t>ентрифужные пробирки</w:t>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Центрифужные пробирки объемом 50 мл, материал полипропилен, дно коническое, крышка с заглушкой, стерильные, не содержат ДНКаз и РНКаз, бесцветные, с градуировкой.</w:t>
            </w:r>
          </w:p>
          <w:p w:rsidR="003D45D1" w:rsidRPr="002B3A78" w:rsidRDefault="003D45D1" w:rsidP="00C973DF">
            <w:pPr>
              <w:snapToGrid w:val="0"/>
              <w:spacing w:line="240" w:lineRule="auto"/>
              <w:jc w:val="both"/>
              <w:rPr>
                <w:rFonts w:ascii="Times New Roman" w:eastAsia="Times New Roman" w:hAnsi="Times New Roman" w:cs="Times New Roman"/>
                <w:b/>
                <w:i/>
                <w:sz w:val="24"/>
                <w:szCs w:val="24"/>
                <w:lang w:eastAsia="ru-RU"/>
              </w:rPr>
            </w:pPr>
            <w:r w:rsidRPr="003D45D1">
              <w:rPr>
                <w:rFonts w:ascii="Times New Roman" w:eastAsia="Times New Roman" w:hAnsi="Times New Roman" w:cs="Times New Roman"/>
                <w:sz w:val="24"/>
                <w:szCs w:val="24"/>
                <w:lang w:eastAsia="ru-RU"/>
              </w:rPr>
              <w:t xml:space="preserve">Максимальная центробежная сила при </w:t>
            </w:r>
            <w:r w:rsidRPr="003D45D1">
              <w:rPr>
                <w:rFonts w:ascii="Times New Roman" w:eastAsia="Times New Roman" w:hAnsi="Times New Roman" w:cs="Times New Roman"/>
                <w:sz w:val="24"/>
                <w:szCs w:val="24"/>
                <w:lang w:eastAsia="ru-RU"/>
              </w:rPr>
              <w:lastRenderedPageBreak/>
              <w:t>центрифугировании 3600g. Количество не менее 500 шт/упак.</w:t>
            </w:r>
          </w:p>
        </w:tc>
        <w:tc>
          <w:tcPr>
            <w:tcW w:w="1275" w:type="dxa"/>
          </w:tcPr>
          <w:p w:rsidR="003D45D1"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шт</w:t>
            </w:r>
          </w:p>
        </w:tc>
        <w:tc>
          <w:tcPr>
            <w:tcW w:w="709" w:type="dxa"/>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59" w:type="dxa"/>
            <w:shd w:val="clear" w:color="auto" w:fill="auto"/>
          </w:tcPr>
          <w:p w:rsidR="003D45D1" w:rsidRPr="003D45D1" w:rsidRDefault="008E4AFD" w:rsidP="003D45D1">
            <w:pPr>
              <w:autoSpaceDE w:val="0"/>
              <w:autoSpaceDN w:val="0"/>
              <w:adjustRightInd w:val="0"/>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32.99.59.000</w:t>
            </w:r>
          </w:p>
        </w:tc>
        <w:tc>
          <w:tcPr>
            <w:tcW w:w="1418" w:type="dxa"/>
            <w:shd w:val="clear" w:color="auto" w:fill="FFFF99"/>
          </w:tcPr>
          <w:p w:rsidR="003D45D1" w:rsidRDefault="003D45D1" w:rsidP="003D45D1">
            <w:pPr>
              <w:autoSpaceDE w:val="0"/>
              <w:autoSpaceDN w:val="0"/>
              <w:adjustRightInd w:val="0"/>
              <w:spacing w:after="0" w:line="240" w:lineRule="auto"/>
              <w:jc w:val="center"/>
              <w:rPr>
                <w:rFonts w:ascii="Arial" w:hAnsi="Arial" w:cs="Arial"/>
                <w:color w:val="000000"/>
                <w:sz w:val="20"/>
                <w:szCs w:val="20"/>
              </w:rPr>
            </w:pPr>
          </w:p>
        </w:tc>
        <w:tc>
          <w:tcPr>
            <w:tcW w:w="1276" w:type="dxa"/>
            <w:shd w:val="clear" w:color="auto" w:fill="FFFF99"/>
          </w:tcPr>
          <w:p w:rsidR="003D45D1" w:rsidRDefault="003D45D1" w:rsidP="003D45D1">
            <w:pPr>
              <w:autoSpaceDE w:val="0"/>
              <w:autoSpaceDN w:val="0"/>
              <w:adjustRightInd w:val="0"/>
              <w:spacing w:after="0" w:line="240" w:lineRule="auto"/>
              <w:jc w:val="center"/>
              <w:rPr>
                <w:rFonts w:ascii="Arial" w:hAnsi="Arial" w:cs="Arial"/>
                <w:color w:val="000000"/>
                <w:sz w:val="20"/>
                <w:szCs w:val="20"/>
              </w:rPr>
            </w:pPr>
          </w:p>
        </w:tc>
        <w:tc>
          <w:tcPr>
            <w:tcW w:w="1134" w:type="dxa"/>
            <w:shd w:val="clear" w:color="auto" w:fill="FFFF99"/>
          </w:tcPr>
          <w:p w:rsidR="003D45D1" w:rsidRDefault="003D45D1" w:rsidP="003D45D1">
            <w:pPr>
              <w:autoSpaceDE w:val="0"/>
              <w:autoSpaceDN w:val="0"/>
              <w:adjustRightInd w:val="0"/>
              <w:spacing w:after="0" w:line="240" w:lineRule="auto"/>
              <w:jc w:val="center"/>
              <w:rPr>
                <w:rFonts w:ascii="Arial" w:hAnsi="Arial" w:cs="Arial"/>
                <w:color w:val="000000"/>
                <w:sz w:val="20"/>
                <w:szCs w:val="20"/>
              </w:rPr>
            </w:pPr>
          </w:p>
        </w:tc>
        <w:tc>
          <w:tcPr>
            <w:tcW w:w="312" w:type="dxa"/>
          </w:tcPr>
          <w:p w:rsidR="003D45D1" w:rsidRDefault="003D45D1" w:rsidP="003D45D1">
            <w:pPr>
              <w:autoSpaceDE w:val="0"/>
              <w:autoSpaceDN w:val="0"/>
              <w:adjustRightInd w:val="0"/>
              <w:spacing w:after="0" w:line="240" w:lineRule="auto"/>
              <w:jc w:val="center"/>
              <w:rPr>
                <w:rFonts w:ascii="Arial" w:hAnsi="Arial" w:cs="Arial"/>
                <w:color w:val="000000"/>
                <w:sz w:val="20"/>
                <w:szCs w:val="20"/>
              </w:rPr>
            </w:pPr>
          </w:p>
        </w:tc>
        <w:tc>
          <w:tcPr>
            <w:tcW w:w="312" w:type="dxa"/>
          </w:tcPr>
          <w:p w:rsidR="003D45D1" w:rsidRDefault="003D45D1" w:rsidP="003D45D1">
            <w:pPr>
              <w:autoSpaceDE w:val="0"/>
              <w:autoSpaceDN w:val="0"/>
              <w:adjustRightInd w:val="0"/>
              <w:spacing w:after="0" w:line="240" w:lineRule="auto"/>
              <w:jc w:val="center"/>
              <w:rPr>
                <w:rFonts w:ascii="Arial" w:hAnsi="Arial" w:cs="Arial"/>
                <w:color w:val="000000"/>
                <w:sz w:val="20"/>
                <w:szCs w:val="20"/>
              </w:rPr>
            </w:pPr>
          </w:p>
        </w:tc>
      </w:tr>
      <w:tr w:rsidR="003D45D1" w:rsidRPr="008D48DF" w:rsidTr="003D45D1">
        <w:trPr>
          <w:gridAfter w:val="2"/>
          <w:wAfter w:w="624" w:type="dxa"/>
        </w:trPr>
        <w:tc>
          <w:tcPr>
            <w:tcW w:w="534" w:type="dxa"/>
          </w:tcPr>
          <w:p w:rsidR="003D45D1" w:rsidRDefault="003D45D1" w:rsidP="003D4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268" w:type="dxa"/>
          </w:tcPr>
          <w:p w:rsidR="003D45D1" w:rsidRPr="00AB0951" w:rsidRDefault="003D45D1" w:rsidP="003D45D1">
            <w:pPr>
              <w:rPr>
                <w:rFonts w:ascii="Times New Roman" w:eastAsia="Times New Roman" w:hAnsi="Times New Roman" w:cs="Times New Roman"/>
                <w:b/>
                <w:i/>
                <w:sz w:val="24"/>
                <w:szCs w:val="24"/>
              </w:rPr>
            </w:pPr>
            <w:r w:rsidRPr="003D45D1">
              <w:rPr>
                <w:rFonts w:ascii="Times New Roman" w:eastAsia="Times New Roman" w:hAnsi="Times New Roman" w:cs="Times New Roman"/>
                <w:b/>
                <w:i/>
                <w:sz w:val="24"/>
                <w:szCs w:val="24"/>
              </w:rPr>
              <w:t>Май-Грюнвальда красящий раствор ИВД</w:t>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r w:rsidRPr="003D45D1">
              <w:rPr>
                <w:rFonts w:ascii="Times New Roman" w:eastAsia="Times New Roman" w:hAnsi="Times New Roman" w:cs="Times New Roman"/>
                <w:b/>
                <w:i/>
                <w:sz w:val="24"/>
                <w:szCs w:val="24"/>
              </w:rPr>
              <w:tab/>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Май-Грюнвальда (May-Grünwald) красящий раствор, предназначенный для использования отдельно или в сочетании с другими красителями, для обнаружения тканевых структур и внеклеточных элементов в клиническом образце.</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Количество выполняемых тестов ≥ 1000 Штука</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Назначение Для ручной постановки</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Фиксатор-краситель эозин метиленовый синий по Май-Грюнвальду предназначен для применения в качестве фиксатора и красителя форменных элементов крови</w:t>
            </w:r>
          </w:p>
          <w:p w:rsidR="003D45D1" w:rsidRPr="002B3A78" w:rsidRDefault="003D45D1" w:rsidP="00C973DF">
            <w:pPr>
              <w:snapToGrid w:val="0"/>
              <w:spacing w:line="240" w:lineRule="auto"/>
              <w:jc w:val="both"/>
              <w:rPr>
                <w:rFonts w:ascii="Times New Roman" w:eastAsia="Times New Roman" w:hAnsi="Times New Roman" w:cs="Times New Roman"/>
                <w:b/>
                <w:i/>
                <w:sz w:val="24"/>
                <w:szCs w:val="24"/>
                <w:lang w:eastAsia="ru-RU"/>
              </w:rPr>
            </w:pPr>
            <w:r w:rsidRPr="003D45D1">
              <w:rPr>
                <w:rFonts w:ascii="Times New Roman" w:eastAsia="Times New Roman" w:hAnsi="Times New Roman" w:cs="Times New Roman"/>
                <w:sz w:val="24"/>
                <w:szCs w:val="24"/>
                <w:lang w:eastAsia="ru-RU"/>
              </w:rPr>
              <w:t>Флакон емкостью не менее 1 л</w:t>
            </w:r>
          </w:p>
        </w:tc>
        <w:tc>
          <w:tcPr>
            <w:tcW w:w="1275" w:type="dxa"/>
          </w:tcPr>
          <w:p w:rsidR="003D45D1"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w:t>
            </w:r>
          </w:p>
        </w:tc>
        <w:tc>
          <w:tcPr>
            <w:tcW w:w="709" w:type="dxa"/>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shd w:val="clear" w:color="auto" w:fill="auto"/>
          </w:tcPr>
          <w:p w:rsidR="003D45D1" w:rsidRPr="002B3A78" w:rsidRDefault="003D45D1" w:rsidP="003D45D1">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21.20.23.110-00006612</w:t>
            </w:r>
          </w:p>
        </w:tc>
        <w:tc>
          <w:tcPr>
            <w:tcW w:w="1418"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Default="004969D6" w:rsidP="003D4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8" w:type="dxa"/>
          </w:tcPr>
          <w:p w:rsidR="003D45D1" w:rsidRPr="00AB0951" w:rsidRDefault="003D45D1" w:rsidP="003D45D1">
            <w:pPr>
              <w:rPr>
                <w:rFonts w:ascii="Times New Roman" w:eastAsia="Times New Roman" w:hAnsi="Times New Roman" w:cs="Times New Roman"/>
                <w:b/>
                <w:i/>
                <w:sz w:val="24"/>
                <w:szCs w:val="24"/>
              </w:rPr>
            </w:pPr>
            <w:r w:rsidRPr="003D45D1">
              <w:rPr>
                <w:rFonts w:ascii="Times New Roman" w:eastAsia="Times New Roman" w:hAnsi="Times New Roman" w:cs="Times New Roman"/>
                <w:b/>
                <w:i/>
                <w:sz w:val="24"/>
                <w:szCs w:val="24"/>
              </w:rPr>
              <w:t>Лейшмана красящий раствор ИВД</w:t>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Красящий раствор Лейшмана (Leishman staining solution), предназначенный для использования отдельно или в сочетании с другими растворами, для обнаружения тканевых структур и внеклеточных элементов в клиническом образце.</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t>Объем реагента: от 1000 (см[3*];^мл).</w:t>
            </w:r>
          </w:p>
          <w:p w:rsidR="003D45D1" w:rsidRPr="002B3A78" w:rsidRDefault="003D45D1" w:rsidP="00C973DF">
            <w:pPr>
              <w:snapToGrid w:val="0"/>
              <w:spacing w:line="240" w:lineRule="auto"/>
              <w:jc w:val="both"/>
              <w:rPr>
                <w:rFonts w:ascii="Times New Roman" w:eastAsia="Times New Roman" w:hAnsi="Times New Roman" w:cs="Times New Roman"/>
                <w:b/>
                <w:i/>
                <w:sz w:val="24"/>
                <w:szCs w:val="24"/>
                <w:lang w:eastAsia="ru-RU"/>
              </w:rPr>
            </w:pPr>
            <w:r w:rsidRPr="003D45D1">
              <w:rPr>
                <w:rFonts w:ascii="Times New Roman" w:eastAsia="Times New Roman" w:hAnsi="Times New Roman" w:cs="Times New Roman"/>
                <w:sz w:val="24"/>
                <w:szCs w:val="24"/>
                <w:lang w:eastAsia="ru-RU"/>
              </w:rPr>
              <w:t>Фиксатор-краситель, предназначенный для обработки препаратов периферической крови. Используется совместно с окраской азур-эозином по Романовскому. Компоненты: эозин метиленовый синий типа Лейшмана в метаноле.</w:t>
            </w:r>
          </w:p>
        </w:tc>
        <w:tc>
          <w:tcPr>
            <w:tcW w:w="1275" w:type="dxa"/>
          </w:tcPr>
          <w:p w:rsidR="003D45D1"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упак</w:t>
            </w:r>
          </w:p>
        </w:tc>
        <w:tc>
          <w:tcPr>
            <w:tcW w:w="709" w:type="dxa"/>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shd w:val="clear" w:color="auto" w:fill="auto"/>
          </w:tcPr>
          <w:p w:rsidR="003D45D1" w:rsidRPr="002B3A78" w:rsidRDefault="003D45D1" w:rsidP="003D45D1">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21.20.23.110-00006647</w:t>
            </w:r>
          </w:p>
        </w:tc>
        <w:tc>
          <w:tcPr>
            <w:tcW w:w="1418"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r>
      <w:tr w:rsidR="003D45D1" w:rsidRPr="008D48DF" w:rsidTr="003D45D1">
        <w:trPr>
          <w:gridAfter w:val="2"/>
          <w:wAfter w:w="624" w:type="dxa"/>
        </w:trPr>
        <w:tc>
          <w:tcPr>
            <w:tcW w:w="534" w:type="dxa"/>
          </w:tcPr>
          <w:p w:rsidR="003D45D1" w:rsidRDefault="004969D6" w:rsidP="003D4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8" w:type="dxa"/>
          </w:tcPr>
          <w:p w:rsidR="003D45D1" w:rsidRPr="00AB0951" w:rsidRDefault="003D45D1" w:rsidP="003D45D1">
            <w:pPr>
              <w:rPr>
                <w:rFonts w:ascii="Times New Roman" w:eastAsia="Times New Roman" w:hAnsi="Times New Roman" w:cs="Times New Roman"/>
                <w:b/>
                <w:i/>
                <w:sz w:val="24"/>
                <w:szCs w:val="24"/>
              </w:rPr>
            </w:pPr>
            <w:r w:rsidRPr="003D45D1">
              <w:rPr>
                <w:rFonts w:ascii="Times New Roman" w:eastAsia="Times New Roman" w:hAnsi="Times New Roman" w:cs="Times New Roman"/>
                <w:b/>
                <w:i/>
                <w:sz w:val="24"/>
                <w:szCs w:val="24"/>
              </w:rPr>
              <w:t xml:space="preserve">Лента с </w:t>
            </w:r>
            <w:r w:rsidRPr="003D45D1">
              <w:rPr>
                <w:rFonts w:ascii="Times New Roman" w:eastAsia="Times New Roman" w:hAnsi="Times New Roman" w:cs="Times New Roman"/>
                <w:b/>
                <w:i/>
                <w:sz w:val="24"/>
                <w:szCs w:val="24"/>
              </w:rPr>
              <w:lastRenderedPageBreak/>
              <w:t>наклейками на стекла</w:t>
            </w:r>
          </w:p>
        </w:tc>
        <w:tc>
          <w:tcPr>
            <w:tcW w:w="5670" w:type="dxa"/>
          </w:tcPr>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lastRenderedPageBreak/>
              <w:t xml:space="preserve">Набор наклеек для принтера Ebar, </w:t>
            </w:r>
          </w:p>
          <w:p w:rsidR="003D45D1" w:rsidRPr="003D45D1" w:rsidRDefault="003D45D1" w:rsidP="00C973DF">
            <w:pPr>
              <w:snapToGrid w:val="0"/>
              <w:spacing w:line="240" w:lineRule="auto"/>
              <w:jc w:val="both"/>
              <w:rPr>
                <w:rFonts w:ascii="Times New Roman" w:eastAsia="Times New Roman" w:hAnsi="Times New Roman" w:cs="Times New Roman"/>
                <w:sz w:val="24"/>
                <w:szCs w:val="24"/>
                <w:lang w:eastAsia="ru-RU"/>
              </w:rPr>
            </w:pPr>
            <w:r w:rsidRPr="003D45D1">
              <w:rPr>
                <w:rFonts w:ascii="Times New Roman" w:eastAsia="Times New Roman" w:hAnsi="Times New Roman" w:cs="Times New Roman"/>
                <w:sz w:val="24"/>
                <w:szCs w:val="24"/>
                <w:lang w:eastAsia="ru-RU"/>
              </w:rPr>
              <w:lastRenderedPageBreak/>
              <w:t>Предназначен для печати штрих-кодов для маркировки предметных стекол для проведения иммуногистохимической in vitro диагностики при помощи автоматических устройств Ventana BenchMark.</w:t>
            </w:r>
          </w:p>
          <w:p w:rsidR="003D45D1" w:rsidRPr="002B3A78" w:rsidRDefault="003D45D1" w:rsidP="00C973DF">
            <w:pPr>
              <w:snapToGrid w:val="0"/>
              <w:spacing w:line="240" w:lineRule="auto"/>
              <w:jc w:val="both"/>
              <w:rPr>
                <w:rFonts w:ascii="Times New Roman" w:eastAsia="Times New Roman" w:hAnsi="Times New Roman" w:cs="Times New Roman"/>
                <w:b/>
                <w:i/>
                <w:sz w:val="24"/>
                <w:szCs w:val="24"/>
                <w:lang w:eastAsia="ru-RU"/>
              </w:rPr>
            </w:pPr>
            <w:r w:rsidRPr="003D45D1">
              <w:rPr>
                <w:rFonts w:ascii="Times New Roman" w:eastAsia="Times New Roman" w:hAnsi="Times New Roman" w:cs="Times New Roman"/>
                <w:sz w:val="24"/>
                <w:szCs w:val="24"/>
                <w:lang w:eastAsia="ru-RU"/>
              </w:rPr>
              <w:t>Этикетки обладают клейкой гидрофобной пленкой, закрывающей информационное поле и предохраняющий его содержание от реактивов в процессе окрашивания.</w:t>
            </w:r>
          </w:p>
        </w:tc>
        <w:tc>
          <w:tcPr>
            <w:tcW w:w="1275" w:type="dxa"/>
          </w:tcPr>
          <w:p w:rsidR="003D45D1"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шт</w:t>
            </w:r>
          </w:p>
        </w:tc>
        <w:tc>
          <w:tcPr>
            <w:tcW w:w="709" w:type="dxa"/>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shd w:val="clear" w:color="auto" w:fill="auto"/>
          </w:tcPr>
          <w:p w:rsidR="003D45D1" w:rsidRPr="002B3A78" w:rsidRDefault="003D45D1" w:rsidP="003D45D1">
            <w:pPr>
              <w:spacing w:line="240" w:lineRule="auto"/>
              <w:jc w:val="center"/>
              <w:rPr>
                <w:rFonts w:ascii="Times New Roman" w:eastAsia="Times New Roman" w:hAnsi="Times New Roman" w:cs="Times New Roman"/>
                <w:b/>
                <w:i/>
                <w:color w:val="000000"/>
                <w:sz w:val="24"/>
                <w:szCs w:val="24"/>
              </w:rPr>
            </w:pPr>
            <w:r w:rsidRPr="003D45D1">
              <w:rPr>
                <w:rFonts w:ascii="Times New Roman" w:eastAsia="Times New Roman" w:hAnsi="Times New Roman" w:cs="Times New Roman"/>
                <w:b/>
                <w:i/>
                <w:color w:val="000000"/>
                <w:sz w:val="24"/>
                <w:szCs w:val="24"/>
              </w:rPr>
              <w:t>32.99.59.000</w:t>
            </w:r>
          </w:p>
        </w:tc>
        <w:tc>
          <w:tcPr>
            <w:tcW w:w="1418"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3D45D1" w:rsidRPr="008D48DF" w:rsidRDefault="003D45D1" w:rsidP="003D45D1">
            <w:pPr>
              <w:spacing w:line="240" w:lineRule="auto"/>
              <w:jc w:val="center"/>
              <w:rPr>
                <w:rFonts w:ascii="Times New Roman" w:eastAsia="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D10717">
      <w:headerReference w:type="first" r:id="rId19"/>
      <w:footerReference w:type="first" r:id="rId20"/>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E9" w:rsidRDefault="006220E9">
      <w:pPr>
        <w:spacing w:after="0" w:line="240" w:lineRule="auto"/>
      </w:pPr>
      <w:r>
        <w:separator/>
      </w:r>
    </w:p>
  </w:endnote>
  <w:endnote w:type="continuationSeparator" w:id="0">
    <w:p w:rsidR="006220E9" w:rsidRDefault="0062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6114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84F42">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220E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220E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84F42">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220E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84F4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E9" w:rsidRDefault="006220E9">
      <w:pPr>
        <w:spacing w:after="0" w:line="240" w:lineRule="auto"/>
      </w:pPr>
      <w:r>
        <w:separator/>
      </w:r>
    </w:p>
  </w:footnote>
  <w:footnote w:type="continuationSeparator" w:id="0">
    <w:p w:rsidR="006220E9" w:rsidRDefault="0062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4F42"/>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114E"/>
    <w:rsid w:val="00262242"/>
    <w:rsid w:val="0027397C"/>
    <w:rsid w:val="00275651"/>
    <w:rsid w:val="0027696D"/>
    <w:rsid w:val="002824B6"/>
    <w:rsid w:val="002868D2"/>
    <w:rsid w:val="002A048E"/>
    <w:rsid w:val="002A1986"/>
    <w:rsid w:val="002A657B"/>
    <w:rsid w:val="002B12E3"/>
    <w:rsid w:val="002C2CE3"/>
    <w:rsid w:val="002C473B"/>
    <w:rsid w:val="002C4C38"/>
    <w:rsid w:val="002D21DE"/>
    <w:rsid w:val="002E6D4A"/>
    <w:rsid w:val="002F1377"/>
    <w:rsid w:val="002F2BED"/>
    <w:rsid w:val="002F5BC1"/>
    <w:rsid w:val="002F6D7C"/>
    <w:rsid w:val="003103C5"/>
    <w:rsid w:val="0031098C"/>
    <w:rsid w:val="00317DBA"/>
    <w:rsid w:val="00322D0D"/>
    <w:rsid w:val="00324FCD"/>
    <w:rsid w:val="00325EB5"/>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0FE0"/>
    <w:rsid w:val="003B56D0"/>
    <w:rsid w:val="003B57CB"/>
    <w:rsid w:val="003C6250"/>
    <w:rsid w:val="003D27ED"/>
    <w:rsid w:val="003D45D1"/>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69D6"/>
    <w:rsid w:val="004A030B"/>
    <w:rsid w:val="004A7B5B"/>
    <w:rsid w:val="004B7816"/>
    <w:rsid w:val="004C1F26"/>
    <w:rsid w:val="004C5F4A"/>
    <w:rsid w:val="004D0F2E"/>
    <w:rsid w:val="004D10CD"/>
    <w:rsid w:val="004D3C63"/>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5F254D"/>
    <w:rsid w:val="006220E9"/>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55CDC"/>
    <w:rsid w:val="00861E58"/>
    <w:rsid w:val="0086317D"/>
    <w:rsid w:val="008638F3"/>
    <w:rsid w:val="00883DC5"/>
    <w:rsid w:val="00893080"/>
    <w:rsid w:val="0089339B"/>
    <w:rsid w:val="00894C5B"/>
    <w:rsid w:val="008A7058"/>
    <w:rsid w:val="008A77E7"/>
    <w:rsid w:val="008B0A94"/>
    <w:rsid w:val="008B64C5"/>
    <w:rsid w:val="008C7CC3"/>
    <w:rsid w:val="008D36C2"/>
    <w:rsid w:val="008E4AFD"/>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2C41"/>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847"/>
    <w:rsid w:val="00C77D9B"/>
    <w:rsid w:val="00C81C82"/>
    <w:rsid w:val="00C9583B"/>
    <w:rsid w:val="00C973DF"/>
    <w:rsid w:val="00CC4773"/>
    <w:rsid w:val="00CD1DB9"/>
    <w:rsid w:val="00CD1E24"/>
    <w:rsid w:val="00CD3089"/>
    <w:rsid w:val="00CF19F4"/>
    <w:rsid w:val="00CF1A90"/>
    <w:rsid w:val="00D04875"/>
    <w:rsid w:val="00D10717"/>
    <w:rsid w:val="00D17764"/>
    <w:rsid w:val="00D2444F"/>
    <w:rsid w:val="00D3148D"/>
    <w:rsid w:val="00D31887"/>
    <w:rsid w:val="00D3448D"/>
    <w:rsid w:val="00D4075D"/>
    <w:rsid w:val="00D45A9D"/>
    <w:rsid w:val="00D57C6C"/>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0632A"/>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CEA6-29D2-4710-A7DE-59B90D65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2020-03-23T18:26:00Z</dcterms:created>
  <dcterms:modified xsi:type="dcterms:W3CDTF">2020-03-24T06:27:00Z</dcterms:modified>
</cp:coreProperties>
</file>