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05.08.2026 № 05-07/1663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12.08.2026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B1DAD">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заявки от Покупателя. Последняя дата подачи заявки на поставку 12.11.2026. Максимальное количество партий – 10 (десять).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БЕЗ 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4-х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Pr="00AD6BEB" w:rsidRDefault="001B1DAD" w:rsidP="005F1058">
            <w:pPr>
              <w:ind w:right="-1"/>
              <w:jc w:val="both"/>
              <w:rPr>
                <w:rFonts w:ascii="Times New Roman" w:hAnsi="Times New Roman" w:cs="Times New Roman"/>
                <w:noProof/>
                <w:sz w:val="24"/>
                <w:szCs w:val="24"/>
                <w:highlight w:val="lightGray"/>
              </w:rPr>
            </w:pPr>
            <w:hyperlink r:id="rId16" w:history="1">
              <w:r w:rsidR="00AD6BEB" w:rsidRPr="00AD6BEB">
                <w:rPr>
                  <w:rFonts w:ascii="Times New Roman" w:hAnsi="Times New Roman" w:cs="Times New Roman"/>
                  <w:sz w:val="20"/>
                  <w:szCs w:val="20"/>
                  <w:highlight w:val="lightGray"/>
                </w:rPr>
                <w:t>ПП РФ от 23.12.2024 № 1875 – преимущество</w:t>
              </w:r>
            </w:hyperlink>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7"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7"/>
            <w:r w:rsidR="00D24688">
              <w:rPr>
                <w:rFonts w:ascii="Times New Roman" w:hAnsi="Times New Roman" w:cs="Times New Roman"/>
                <w:noProof/>
                <w:sz w:val="24"/>
                <w:szCs w:val="24"/>
              </w:rPr>
              <w:t>нет</w:t>
            </w:r>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8"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19"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19"/>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7"/>
          <w:footerReference w:type="first" r:id="rId18"/>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pPr w:leftFromText="180" w:rightFromText="180" w:vertAnchor="text" w:horzAnchor="margin" w:tblpY="8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334"/>
        <w:gridCol w:w="2494"/>
        <w:gridCol w:w="1375"/>
        <w:gridCol w:w="1033"/>
        <w:gridCol w:w="3120"/>
        <w:gridCol w:w="992"/>
        <w:gridCol w:w="711"/>
        <w:gridCol w:w="1273"/>
        <w:gridCol w:w="995"/>
        <w:gridCol w:w="848"/>
        <w:gridCol w:w="673"/>
      </w:tblGrid>
      <w:tr w:rsidR="00D24688" w:rsidRPr="001D25C4" w:rsidTr="00C40EE4">
        <w:trPr>
          <w:trHeight w:val="402"/>
        </w:trPr>
        <w:tc>
          <w:tcPr>
            <w:tcW w:w="345" w:type="pct"/>
            <w:vMerge w:val="restar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Наименование товара, работы, услуги</w:t>
            </w:r>
          </w:p>
        </w:tc>
        <w:tc>
          <w:tcPr>
            <w:tcW w:w="418" w:type="pct"/>
            <w:vMerge w:val="restar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Код позиции</w:t>
            </w:r>
          </w:p>
        </w:tc>
        <w:tc>
          <w:tcPr>
            <w:tcW w:w="2515" w:type="pct"/>
            <w:gridSpan w:val="4"/>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Характеристики товара, работы, услуги</w:t>
            </w:r>
          </w:p>
        </w:tc>
        <w:tc>
          <w:tcPr>
            <w:tcW w:w="311" w:type="pct"/>
            <w:vMerge w:val="restar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Количество (объем работы, услуги)</w:t>
            </w:r>
          </w:p>
        </w:tc>
        <w:tc>
          <w:tcPr>
            <w:tcW w:w="223" w:type="pct"/>
            <w:vMerge w:val="restar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Единица измерения</w:t>
            </w:r>
          </w:p>
        </w:tc>
        <w:tc>
          <w:tcPr>
            <w:tcW w:w="399"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Страна происхождения Товара</w:t>
            </w:r>
          </w:p>
        </w:tc>
        <w:tc>
          <w:tcPr>
            <w:tcW w:w="312"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Ставка НДС%</w:t>
            </w:r>
          </w:p>
        </w:tc>
        <w:tc>
          <w:tcPr>
            <w:tcW w:w="266" w:type="pct"/>
            <w:vMerge w:val="restart"/>
          </w:tcPr>
          <w:p w:rsidR="00D24688" w:rsidRPr="001D25C4" w:rsidRDefault="00D24688" w:rsidP="000459AF">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 xml:space="preserve">Цена за единицу </w:t>
            </w:r>
            <w:r w:rsidR="000459AF">
              <w:rPr>
                <w:rFonts w:ascii="Times New Roman" w:eastAsia="Times New Roman" w:hAnsi="Times New Roman"/>
                <w:b/>
                <w:bCs/>
                <w:color w:val="000000"/>
                <w:sz w:val="18"/>
                <w:szCs w:val="18"/>
                <w:lang w:eastAsia="ru-RU"/>
              </w:rPr>
              <w:t xml:space="preserve">с </w:t>
            </w:r>
            <w:r w:rsidRPr="001D25C4">
              <w:rPr>
                <w:rFonts w:ascii="Times New Roman" w:eastAsia="Times New Roman" w:hAnsi="Times New Roman"/>
                <w:b/>
                <w:bCs/>
                <w:color w:val="000000"/>
                <w:sz w:val="18"/>
                <w:szCs w:val="18"/>
                <w:lang w:eastAsia="ru-RU"/>
              </w:rPr>
              <w:t xml:space="preserve"> НДС</w:t>
            </w:r>
          </w:p>
        </w:tc>
        <w:tc>
          <w:tcPr>
            <w:tcW w:w="211" w:type="pct"/>
            <w:vMerge w:val="restart"/>
          </w:tcPr>
          <w:p w:rsidR="00D24688" w:rsidRPr="001D25C4" w:rsidRDefault="00D24688" w:rsidP="000459AF">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 xml:space="preserve">Сумма </w:t>
            </w:r>
            <w:r w:rsidR="000459AF">
              <w:rPr>
                <w:rFonts w:ascii="Times New Roman" w:eastAsia="Times New Roman" w:hAnsi="Times New Roman"/>
                <w:b/>
                <w:bCs/>
                <w:color w:val="000000"/>
                <w:sz w:val="18"/>
                <w:szCs w:val="18"/>
                <w:lang w:eastAsia="ru-RU"/>
              </w:rPr>
              <w:t xml:space="preserve">с </w:t>
            </w:r>
            <w:r w:rsidRPr="001D25C4">
              <w:rPr>
                <w:rFonts w:ascii="Times New Roman" w:eastAsia="Times New Roman" w:hAnsi="Times New Roman"/>
                <w:b/>
                <w:bCs/>
                <w:color w:val="000000"/>
                <w:sz w:val="18"/>
                <w:szCs w:val="18"/>
                <w:lang w:eastAsia="ru-RU"/>
              </w:rPr>
              <w:t xml:space="preserve"> НДС</w:t>
            </w:r>
          </w:p>
        </w:tc>
      </w:tr>
      <w:tr w:rsidR="00D24688" w:rsidRPr="001D25C4" w:rsidTr="00C40EE4">
        <w:trPr>
          <w:trHeight w:val="402"/>
        </w:trPr>
        <w:tc>
          <w:tcPr>
            <w:tcW w:w="345" w:type="pct"/>
            <w:vMerge/>
          </w:tcPr>
          <w:p w:rsidR="00D24688" w:rsidRPr="001D25C4" w:rsidRDefault="00D24688" w:rsidP="00C40EE4">
            <w:pPr>
              <w:spacing w:after="0" w:line="240" w:lineRule="auto"/>
              <w:rPr>
                <w:rFonts w:ascii="Times New Roman" w:eastAsia="Times New Roman" w:hAnsi="Times New Roman"/>
                <w:b/>
                <w:bCs/>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b/>
                <w:bCs/>
                <w:color w:val="000000"/>
                <w:sz w:val="18"/>
                <w:szCs w:val="18"/>
                <w:lang w:eastAsia="ru-RU"/>
              </w:rPr>
            </w:pPr>
          </w:p>
        </w:tc>
        <w:tc>
          <w:tcPr>
            <w:tcW w:w="782"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Наименование характеристики</w:t>
            </w:r>
          </w:p>
        </w:tc>
        <w:tc>
          <w:tcPr>
            <w:tcW w:w="431"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Значение характеристики</w:t>
            </w:r>
          </w:p>
        </w:tc>
        <w:tc>
          <w:tcPr>
            <w:tcW w:w="324"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Единица измерения характеристики</w:t>
            </w:r>
          </w:p>
        </w:tc>
        <w:tc>
          <w:tcPr>
            <w:tcW w:w="978"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Инструкция по заполнению характеристик в заявке</w:t>
            </w:r>
          </w:p>
        </w:tc>
        <w:tc>
          <w:tcPr>
            <w:tcW w:w="311" w:type="pct"/>
            <w:vMerge/>
          </w:tcPr>
          <w:p w:rsidR="00D24688" w:rsidRPr="001D25C4" w:rsidRDefault="00D24688" w:rsidP="00C40EE4">
            <w:pPr>
              <w:spacing w:after="0" w:line="240" w:lineRule="auto"/>
              <w:rPr>
                <w:rFonts w:ascii="Times New Roman" w:eastAsia="Times New Roman" w:hAnsi="Times New Roman"/>
                <w:b/>
                <w:bCs/>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b/>
                <w:bCs/>
                <w:color w:val="000000"/>
                <w:sz w:val="18"/>
                <w:szCs w:val="18"/>
                <w:lang w:eastAsia="ru-RU"/>
              </w:rPr>
            </w:pPr>
          </w:p>
        </w:tc>
        <w:tc>
          <w:tcPr>
            <w:tcW w:w="399"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 </w:t>
            </w:r>
          </w:p>
        </w:tc>
        <w:tc>
          <w:tcPr>
            <w:tcW w:w="312" w:type="pct"/>
          </w:tcPr>
          <w:p w:rsidR="00D24688" w:rsidRPr="001D25C4" w:rsidRDefault="00D24688" w:rsidP="00C40EE4">
            <w:pPr>
              <w:spacing w:after="0" w:line="240" w:lineRule="auto"/>
              <w:jc w:val="center"/>
              <w:rPr>
                <w:rFonts w:ascii="Times New Roman" w:eastAsia="Times New Roman" w:hAnsi="Times New Roman"/>
                <w:b/>
                <w:bCs/>
                <w:color w:val="000000"/>
                <w:sz w:val="18"/>
                <w:szCs w:val="18"/>
                <w:lang w:eastAsia="ru-RU"/>
              </w:rPr>
            </w:pPr>
            <w:r w:rsidRPr="001D25C4">
              <w:rPr>
                <w:rFonts w:ascii="Times New Roman" w:eastAsia="Times New Roman" w:hAnsi="Times New Roman"/>
                <w:b/>
                <w:bCs/>
                <w:color w:val="000000"/>
                <w:sz w:val="18"/>
                <w:szCs w:val="18"/>
                <w:lang w:eastAsia="ru-RU"/>
              </w:rPr>
              <w:t> </w:t>
            </w:r>
          </w:p>
        </w:tc>
        <w:tc>
          <w:tcPr>
            <w:tcW w:w="266" w:type="pct"/>
            <w:vMerge/>
          </w:tcPr>
          <w:p w:rsidR="00D24688" w:rsidRPr="001D25C4" w:rsidRDefault="00D24688" w:rsidP="00C40EE4">
            <w:pPr>
              <w:spacing w:after="0" w:line="240" w:lineRule="auto"/>
              <w:rPr>
                <w:rFonts w:ascii="Times New Roman" w:eastAsia="Times New Roman" w:hAnsi="Times New Roman"/>
                <w:b/>
                <w:bCs/>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b/>
                <w:bCs/>
                <w:color w:val="000000"/>
                <w:sz w:val="18"/>
                <w:szCs w:val="18"/>
                <w:lang w:eastAsia="ru-RU"/>
              </w:rPr>
            </w:pPr>
          </w:p>
        </w:tc>
      </w:tr>
      <w:tr w:rsidR="00D24688" w:rsidRPr="001D25C4" w:rsidTr="00C40EE4">
        <w:trPr>
          <w:trHeight w:val="342"/>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c-Myc</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eastAsia="Times New Roman" w:hAnsi="Times New Roman"/>
                <w:color w:val="000000"/>
                <w:sz w:val="18"/>
                <w:szCs w:val="18"/>
                <w:lang w:eastAsia="ru-RU"/>
              </w:rPr>
            </w:pPr>
            <w:r w:rsidRPr="001D25C4">
              <w:rPr>
                <w:rFonts w:ascii="Times New Roman" w:hAnsi="Times New Roman"/>
                <w:sz w:val="18"/>
                <w:szCs w:val="18"/>
              </w:rPr>
              <w:t>Первичные антитела моноклональныек c-Myc</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Клон EP121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hAnsi="Times New Roman"/>
                <w:sz w:val="18"/>
                <w:szCs w:val="18"/>
              </w:rPr>
            </w:pPr>
          </w:p>
        </w:tc>
        <w:tc>
          <w:tcPr>
            <w:tcW w:w="223" w:type="pct"/>
            <w:vMerge/>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Форма выпуска: </w:t>
            </w:r>
            <w:r w:rsidRPr="001D25C4">
              <w:rPr>
                <w:rFonts w:ascii="Times New Roman" w:hAnsi="Times New Roman"/>
                <w:sz w:val="18"/>
                <w:szCs w:val="18"/>
              </w:rPr>
              <w:t xml:space="preserve"> концентрат.</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hAnsi="Times New Roman"/>
                <w:sz w:val="18"/>
                <w:szCs w:val="18"/>
              </w:rPr>
            </w:pPr>
          </w:p>
        </w:tc>
        <w:tc>
          <w:tcPr>
            <w:tcW w:w="223" w:type="pct"/>
            <w:vMerge/>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 .</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hAnsi="Times New Roman"/>
                <w:sz w:val="18"/>
                <w:szCs w:val="18"/>
              </w:rPr>
            </w:pPr>
          </w:p>
        </w:tc>
        <w:tc>
          <w:tcPr>
            <w:tcW w:w="223" w:type="pct"/>
            <w:vMerge/>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29"/>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Реактивность: человек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1"/>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Рекомендуемое разведение: 1:25-1:100.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207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Объем:</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1</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 мл.</w:t>
            </w: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Histone H3K27me3</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Кроличьи моноклональные антитела Histone H3K27me3 (Tri-methyl Lys27).</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упак</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Клон RM175</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61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 мкг</w:t>
            </w: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SDHB</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eastAsia="Times New Roman" w:hAnsi="Times New Roman"/>
                <w:color w:val="000000"/>
                <w:sz w:val="18"/>
                <w:szCs w:val="18"/>
                <w:lang w:eastAsia="ru-RU"/>
              </w:rPr>
            </w:pPr>
            <w:r w:rsidRPr="001D25C4">
              <w:rPr>
                <w:rFonts w:ascii="Times New Roman" w:hAnsi="Times New Roman"/>
                <w:sz w:val="18"/>
                <w:szCs w:val="18"/>
              </w:rPr>
              <w:t>Первичные антитела (кроличьи моноклональные) к SDHB</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5</w:t>
            </w:r>
          </w:p>
        </w:tc>
        <w:tc>
          <w:tcPr>
            <w:tcW w:w="223" w:type="pct"/>
            <w:vMerge w:val="restart"/>
            <w:tcBorders>
              <w:top w:val="single" w:sz="6" w:space="0" w:color="000000"/>
              <w:left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упак</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Клон EP288</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29"/>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Реактивность: человек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1"/>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Рекомендуемое разведение: 1:25-1:100.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1"/>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Объем:</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0,1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 мл</w:t>
            </w: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val="restar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SF-1</w:t>
            </w:r>
          </w:p>
        </w:tc>
        <w:tc>
          <w:tcPr>
            <w:tcW w:w="418" w:type="pct"/>
            <w:vMerge w:val="restar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keepNext/>
              <w:keepLines/>
              <w:contextualSpacing/>
              <w:rPr>
                <w:rFonts w:ascii="Times New Roman" w:hAnsi="Times New Roman"/>
                <w:sz w:val="18"/>
                <w:szCs w:val="18"/>
              </w:rPr>
            </w:pPr>
            <w:r w:rsidRPr="001D25C4">
              <w:rPr>
                <w:rFonts w:ascii="Times New Roman" w:hAnsi="Times New Roman"/>
                <w:sz w:val="18"/>
                <w:szCs w:val="18"/>
              </w:rPr>
              <w:t>Антитела кроличьи моноклональные  к SF-1.</w:t>
            </w:r>
          </w:p>
        </w:tc>
        <w:tc>
          <w:tcPr>
            <w:tcW w:w="431" w:type="pc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p>
        </w:tc>
        <w:tc>
          <w:tcPr>
            <w:tcW w:w="978" w:type="pct"/>
          </w:tcPr>
          <w:p w:rsidR="00D24688" w:rsidRPr="001D25C4" w:rsidRDefault="00D24688" w:rsidP="00C40EE4">
            <w:pPr>
              <w:keepNext/>
              <w:keepLines/>
              <w:spacing w:after="0" w:line="240" w:lineRule="auto"/>
              <w:contextualSpacing/>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right w:val="single" w:sz="6" w:space="0" w:color="000000"/>
            </w:tcBorders>
          </w:tcPr>
          <w:p w:rsidR="00D24688" w:rsidRPr="001D25C4" w:rsidRDefault="00D24688" w:rsidP="00C40EE4">
            <w:pPr>
              <w:keepNext/>
              <w:keepLines/>
              <w:spacing w:after="0" w:line="240" w:lineRule="auto"/>
              <w:contextualSpacing/>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right w:val="single" w:sz="6" w:space="0" w:color="000000"/>
            </w:tcBorders>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keepNext/>
              <w:keepLines/>
              <w:spacing w:after="0" w:line="240" w:lineRule="auto"/>
              <w:contextualSpacing/>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EP434</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342"/>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hAnsi="Times New Roman"/>
                <w:sz w:val="18"/>
                <w:szCs w:val="18"/>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hAnsi="Times New Roman"/>
                <w:sz w:val="18"/>
                <w:szCs w:val="18"/>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1"/>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Диапазон разведения: 1:25-1:100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1"/>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Объем:</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 мл</w:t>
            </w:r>
          </w:p>
        </w:tc>
        <w:tc>
          <w:tcPr>
            <w:tcW w:w="978" w:type="pct"/>
            <w:tcBorders>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Borders>
              <w:left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Borders>
              <w:lef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BRCA1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мышиные моноклональне к BRCA1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Клон MS110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Рекомендуемое разведение: 5 мкг/мл</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 мкг</w:t>
            </w: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ETV4</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 ETV4 кроличьи поликлональные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pStyle w:val="af7"/>
              <w:rPr>
                <w:rFonts w:ascii="Times New Roman" w:hAnsi="Times New Roman"/>
                <w:sz w:val="18"/>
                <w:szCs w:val="18"/>
              </w:rPr>
            </w:pPr>
            <w:r w:rsidRPr="001D25C4">
              <w:rPr>
                <w:rFonts w:ascii="Times New Roman" w:hAnsi="Times New Roman"/>
                <w:sz w:val="18"/>
                <w:szCs w:val="18"/>
              </w:rPr>
              <w:t>Применение: вестерн-блот; иммуногистохимия</w:t>
            </w:r>
          </w:p>
          <w:p w:rsidR="00D24688" w:rsidRPr="001D25C4" w:rsidRDefault="00D24688" w:rsidP="00C40EE4">
            <w:pPr>
              <w:pStyle w:val="af7"/>
              <w:rPr>
                <w:rFonts w:ascii="Times New Roman" w:hAnsi="Times New Roman"/>
                <w:sz w:val="18"/>
                <w:szCs w:val="18"/>
              </w:rPr>
            </w:pPr>
            <w:r w:rsidRPr="001D25C4">
              <w:rPr>
                <w:rFonts w:ascii="Times New Roman" w:hAnsi="Times New Roman"/>
                <w:sz w:val="18"/>
                <w:szCs w:val="18"/>
              </w:rPr>
              <w:t>Вестерн-блот (ВБ) 1:1,000</w:t>
            </w:r>
          </w:p>
          <w:p w:rsidR="00D24688" w:rsidRPr="001D25C4" w:rsidRDefault="00D24688" w:rsidP="00C40EE4">
            <w:pPr>
              <w:pStyle w:val="af7"/>
              <w:rPr>
                <w:rFonts w:ascii="Times New Roman" w:hAnsi="Times New Roman"/>
                <w:sz w:val="18"/>
                <w:szCs w:val="18"/>
              </w:rPr>
            </w:pPr>
            <w:r w:rsidRPr="001D25C4">
              <w:rPr>
                <w:rFonts w:ascii="Times New Roman" w:hAnsi="Times New Roman"/>
                <w:sz w:val="18"/>
                <w:szCs w:val="18"/>
              </w:rPr>
              <w:t>Иммуногистохимия (парафиновая) (IHC (P))</w:t>
            </w:r>
          </w:p>
          <w:p w:rsidR="00D24688" w:rsidRPr="001D25C4" w:rsidRDefault="00D24688" w:rsidP="00C40EE4">
            <w:pPr>
              <w:pStyle w:val="af7"/>
              <w:rPr>
                <w:rFonts w:ascii="Times New Roman" w:hAnsi="Times New Roman"/>
                <w:sz w:val="18"/>
                <w:szCs w:val="18"/>
              </w:rPr>
            </w:pPr>
            <w:r w:rsidRPr="001D25C4">
              <w:rPr>
                <w:rFonts w:ascii="Times New Roman" w:hAnsi="Times New Roman"/>
                <w:sz w:val="18"/>
                <w:szCs w:val="18"/>
              </w:rPr>
              <w:t>1:10 - 1:50</w:t>
            </w:r>
          </w:p>
          <w:p w:rsidR="00D24688" w:rsidRPr="001D25C4" w:rsidRDefault="00D24688" w:rsidP="00C40EE4">
            <w:pPr>
              <w:pStyle w:val="af7"/>
              <w:rPr>
                <w:rFonts w:ascii="Times New Roman" w:hAnsi="Times New Roman"/>
                <w:sz w:val="18"/>
                <w:szCs w:val="18"/>
              </w:rPr>
            </w:pPr>
            <w:r w:rsidRPr="001D25C4">
              <w:rPr>
                <w:rFonts w:ascii="Times New Roman" w:hAnsi="Times New Roman"/>
                <w:sz w:val="18"/>
                <w:szCs w:val="18"/>
              </w:rPr>
              <w:t>Проточная цитометрия (Flow)</w:t>
            </w:r>
          </w:p>
          <w:p w:rsidR="00D24688" w:rsidRPr="001D25C4" w:rsidRDefault="00D24688" w:rsidP="00C40EE4">
            <w:pPr>
              <w:pStyle w:val="af7"/>
              <w:rPr>
                <w:rFonts w:ascii="Times New Roman" w:hAnsi="Times New Roman"/>
                <w:sz w:val="18"/>
                <w:szCs w:val="18"/>
              </w:rPr>
            </w:pPr>
            <w:r w:rsidRPr="001D25C4">
              <w:rPr>
                <w:rFonts w:ascii="Times New Roman" w:hAnsi="Times New Roman"/>
                <w:sz w:val="18"/>
                <w:szCs w:val="18"/>
              </w:rPr>
              <w:t>1:10-1:50</w:t>
            </w:r>
          </w:p>
          <w:p w:rsidR="00D24688" w:rsidRPr="001D25C4" w:rsidRDefault="00D24688" w:rsidP="00C40EE4">
            <w:pPr>
              <w:rPr>
                <w:rFonts w:ascii="Times New Roman" w:hAnsi="Times New Roman"/>
                <w:sz w:val="18"/>
                <w:szCs w:val="18"/>
              </w:rPr>
            </w:pP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Только для исследовательского использования</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Anti-HNF1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Кроличьи поликлональные альфа - антитела к HNF1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Подходит для: IHC-P, ICC/IF</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1/200 - 1/500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Формат: пластиковый флакон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MEF2B</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поликлональные к MEF2B /Rabbit Polyclonal Anti-MEF2B;</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Видовая реактивность: Человек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Буфер хранения:забуференный водный раствор глицерина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Применяется: ChIP, IHC</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Adipophilin</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поликлональные к Adipophilin</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концентрат</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1:25-1:100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 xml:space="preserve">Формат: пластиковый флакон </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0,1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p w:rsidR="00D24688" w:rsidRDefault="00D24688" w:rsidP="00C40EE4">
            <w:pPr>
              <w:spacing w:after="0" w:line="240" w:lineRule="auto"/>
              <w:jc w:val="center"/>
              <w:rPr>
                <w:rFonts w:ascii="Times New Roman" w:eastAsia="Times New Roman" w:hAnsi="Times New Roman"/>
                <w:color w:val="000000"/>
                <w:sz w:val="18"/>
                <w:szCs w:val="18"/>
                <w:lang w:eastAsia="ru-RU"/>
              </w:rPr>
            </w:pPr>
          </w:p>
          <w:p w:rsidR="00D24688" w:rsidRDefault="00D24688" w:rsidP="00C40EE4">
            <w:pPr>
              <w:spacing w:after="0" w:line="240" w:lineRule="auto"/>
              <w:jc w:val="center"/>
              <w:rPr>
                <w:rFonts w:ascii="Times New Roman" w:eastAsia="Times New Roman" w:hAnsi="Times New Roman"/>
                <w:color w:val="000000"/>
                <w:sz w:val="18"/>
                <w:szCs w:val="18"/>
                <w:lang w:eastAsia="ru-RU"/>
              </w:rPr>
            </w:pPr>
          </w:p>
          <w:p w:rsidR="00D24688" w:rsidRDefault="00D24688" w:rsidP="00C40EE4">
            <w:pPr>
              <w:spacing w:after="0" w:line="240" w:lineRule="auto"/>
              <w:jc w:val="center"/>
              <w:rPr>
                <w:rFonts w:ascii="Times New Roman" w:eastAsia="Times New Roman" w:hAnsi="Times New Roman"/>
                <w:color w:val="000000"/>
                <w:sz w:val="18"/>
                <w:szCs w:val="18"/>
                <w:lang w:eastAsia="ru-RU"/>
              </w:rPr>
            </w:pPr>
          </w:p>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Gli1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к Gli1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HL247</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Изотип IgG</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Подходит для: WB, IHC-P</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мкл</w:t>
            </w:r>
          </w:p>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Рекомендуемое разведение: на усмотрение пользователя</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Glutamine Synthetase</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(мышиные моноклональные) к Glutamine Synthetase</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eastAsia="ru-RU"/>
              </w:rPr>
            </w:pPr>
            <w:r w:rsidRPr="001D25C4">
              <w:rPr>
                <w:rFonts w:ascii="Times New Roman" w:hAnsi="Times New Roman"/>
                <w:sz w:val="18"/>
                <w:szCs w:val="18"/>
              </w:rPr>
              <w:t>Клон  GS-6</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lang w:val="en-US"/>
              </w:rPr>
            </w:pPr>
            <w:r w:rsidRPr="001D25C4">
              <w:rPr>
                <w:rFonts w:ascii="Times New Roman" w:hAnsi="Times New Roman"/>
                <w:sz w:val="18"/>
                <w:szCs w:val="18"/>
              </w:rPr>
              <w:t>Рекомендуемое разведение: 1:25-1:100</w:t>
            </w:r>
          </w:p>
          <w:p w:rsidR="00D24688" w:rsidRPr="001D25C4" w:rsidRDefault="00D24688" w:rsidP="00C40EE4">
            <w:pPr>
              <w:spacing w:after="0" w:line="240" w:lineRule="auto"/>
              <w:rPr>
                <w:rFonts w:ascii="Times New Roman" w:hAnsi="Times New Roman"/>
                <w:sz w:val="18"/>
                <w:szCs w:val="18"/>
                <w:lang w:val="en-US"/>
              </w:rPr>
            </w:pPr>
          </w:p>
          <w:p w:rsidR="00D24688" w:rsidRPr="001D25C4" w:rsidRDefault="00D24688" w:rsidP="00C40EE4">
            <w:pPr>
              <w:spacing w:after="0" w:line="240" w:lineRule="auto"/>
              <w:rPr>
                <w:rFonts w:ascii="Times New Roman" w:hAnsi="Times New Roman"/>
                <w:sz w:val="18"/>
                <w:szCs w:val="18"/>
                <w:lang w:val="en-US"/>
              </w:rPr>
            </w:pP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Формат: пластиковый флакон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0,1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IgG4</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(мышиные моноклональные) к IgG4</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val="en-US" w:eastAsia="ru-RU"/>
              </w:rPr>
            </w:pPr>
            <w:r w:rsidRPr="001D25C4">
              <w:rPr>
                <w:rFonts w:ascii="Times New Roman" w:hAnsi="Times New Roman"/>
                <w:sz w:val="18"/>
                <w:szCs w:val="18"/>
              </w:rPr>
              <w:t>Клон  MRQ-44</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lang w:val="en-US"/>
              </w:rPr>
            </w:pPr>
            <w:r w:rsidRPr="001D25C4">
              <w:rPr>
                <w:rFonts w:ascii="Times New Roman" w:hAnsi="Times New Roman"/>
                <w:sz w:val="18"/>
                <w:szCs w:val="18"/>
              </w:rPr>
              <w:t>Рекомендуемое разведение: 1:</w:t>
            </w:r>
            <w:r w:rsidRPr="001D25C4">
              <w:rPr>
                <w:rFonts w:ascii="Times New Roman" w:hAnsi="Times New Roman"/>
                <w:sz w:val="18"/>
                <w:szCs w:val="18"/>
                <w:lang w:val="en-US"/>
              </w:rPr>
              <w:t>100</w:t>
            </w:r>
            <w:r w:rsidRPr="001D25C4">
              <w:rPr>
                <w:rFonts w:ascii="Times New Roman" w:hAnsi="Times New Roman"/>
                <w:sz w:val="18"/>
                <w:szCs w:val="18"/>
              </w:rPr>
              <w:t>-1:</w:t>
            </w:r>
            <w:r w:rsidRPr="001D25C4">
              <w:rPr>
                <w:rFonts w:ascii="Times New Roman" w:hAnsi="Times New Roman"/>
                <w:sz w:val="18"/>
                <w:szCs w:val="18"/>
                <w:lang w:val="en-US"/>
              </w:rPr>
              <w:t>500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Формат: пластиковый флакон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0,5</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p w:rsidR="00D24688" w:rsidRDefault="00D24688" w:rsidP="00C40EE4">
            <w:pPr>
              <w:spacing w:after="0" w:line="240" w:lineRule="auto"/>
              <w:jc w:val="center"/>
              <w:rPr>
                <w:rFonts w:ascii="Times New Roman" w:eastAsia="Times New Roman" w:hAnsi="Times New Roman"/>
                <w:color w:val="000000"/>
                <w:sz w:val="18"/>
                <w:szCs w:val="18"/>
                <w:lang w:eastAsia="ru-RU"/>
              </w:rPr>
            </w:pPr>
          </w:p>
          <w:p w:rsidR="00D24688" w:rsidRDefault="00D24688" w:rsidP="00C40EE4">
            <w:pPr>
              <w:spacing w:after="0" w:line="240" w:lineRule="auto"/>
              <w:jc w:val="center"/>
              <w:rPr>
                <w:rFonts w:ascii="Times New Roman" w:eastAsia="Times New Roman" w:hAnsi="Times New Roman"/>
                <w:color w:val="000000"/>
                <w:sz w:val="18"/>
                <w:szCs w:val="18"/>
                <w:lang w:eastAsia="ru-RU"/>
              </w:rPr>
            </w:pPr>
          </w:p>
          <w:p w:rsidR="00D24688" w:rsidRDefault="00D24688" w:rsidP="00C40EE4">
            <w:pPr>
              <w:spacing w:after="0" w:line="240" w:lineRule="auto"/>
              <w:jc w:val="center"/>
              <w:rPr>
                <w:rFonts w:ascii="Times New Roman" w:eastAsia="Times New Roman" w:hAnsi="Times New Roman"/>
                <w:color w:val="000000"/>
                <w:sz w:val="18"/>
                <w:szCs w:val="18"/>
                <w:lang w:eastAsia="ru-RU"/>
              </w:rPr>
            </w:pPr>
          </w:p>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val="en-US" w:eastAsia="ru-RU"/>
              </w:rPr>
            </w:pPr>
            <w:r w:rsidRPr="001D25C4">
              <w:rPr>
                <w:rFonts w:ascii="Times New Roman" w:hAnsi="Times New Roman"/>
                <w:sz w:val="18"/>
                <w:szCs w:val="18"/>
              </w:rPr>
              <w:t>Антитела к MNDA</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мышиные моноклональные к MNDA</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253A</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на усмотрение пользователя</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мкг</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MyoD1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MyoD1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3</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val="en-US" w:eastAsia="ru-RU"/>
              </w:rPr>
            </w:pPr>
            <w:r w:rsidRPr="001D25C4">
              <w:rPr>
                <w:rFonts w:ascii="Times New Roman" w:hAnsi="Times New Roman"/>
                <w:sz w:val="18"/>
                <w:szCs w:val="18"/>
              </w:rPr>
              <w:t>Клон  EP212,</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1:25-1:100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Формат: пластиковый флакон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0,1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NKX3.1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NKX3.1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eastAsia="ru-RU"/>
              </w:rPr>
            </w:pPr>
            <w:r w:rsidRPr="001D25C4">
              <w:rPr>
                <w:rFonts w:ascii="Times New Roman" w:hAnsi="Times New Roman"/>
                <w:sz w:val="18"/>
                <w:szCs w:val="18"/>
              </w:rPr>
              <w:t>Клон  EP356</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1:50-1:200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0,1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PAX-2</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PAX-2</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2</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val="en-US" w:eastAsia="ru-RU"/>
              </w:rPr>
            </w:pPr>
            <w:r w:rsidRPr="001D25C4">
              <w:rPr>
                <w:rFonts w:ascii="Times New Roman" w:hAnsi="Times New Roman"/>
                <w:sz w:val="18"/>
                <w:szCs w:val="18"/>
              </w:rPr>
              <w:t>Клон EP235</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1:10-1:50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Формат: пластиковый флакон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0,1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Ras</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Ras</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EPR3255</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Подходит для вестерн-блоттинга Ras, иммуногистохимии, иммунофлуоресценции и проточной цитометрии.</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Иммуногистохимические исследования проводятся на парафиновых срезах фиксированных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SMAD4</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моноклональные к SMAD4</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2</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val="en-US" w:eastAsia="ru-RU"/>
              </w:rPr>
            </w:pPr>
            <w:r w:rsidRPr="001D25C4">
              <w:rPr>
                <w:rFonts w:ascii="Times New Roman" w:hAnsi="Times New Roman"/>
                <w:sz w:val="18"/>
                <w:szCs w:val="18"/>
              </w:rPr>
              <w:t>Клон  MRQ-72</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концентрат</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1:25-1:50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Формат: пластиковый флакон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0,5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триптазе тучных клеток</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Мышиное моноклональное антитело, предназначенное для выявления триптазы тучных клеток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AA1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подходит для:Western Blot, IHC-P</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1/20000 - 1/200000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p w:rsidR="00D24688" w:rsidRPr="001D25C4" w:rsidRDefault="00D24688" w:rsidP="00C40EE4">
            <w:pPr>
              <w:rPr>
                <w:rFonts w:ascii="Times New Roman" w:hAnsi="Times New Roman"/>
                <w:sz w:val="18"/>
                <w:szCs w:val="18"/>
              </w:rPr>
            </w:pPr>
          </w:p>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 xml:space="preserve">Формат: пластиковый флакон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LEF1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к LEF1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EPR2029Y</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Изотип IgG</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Конъюгация Неконъюгированные</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Метод очистки Белок аффинной очистки A</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Концентрация: Концентрация в зависимости от партии к партии от 0,996 - 1,043 мг/ мл</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мкг</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H3.3</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к гистону H3.3 (мутация G34W)</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EPR23581-39</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Буфер для хранения pH: </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7,2–7,4</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Консервант: 0,01% азида натрия</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Состав: PBS, 40% глицерина, 0,05% БСА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42381" w:rsidRDefault="00D24688" w:rsidP="00C40EE4">
            <w:pPr>
              <w:rPr>
                <w:rFonts w:ascii="Times New Roman" w:hAnsi="Times New Roman"/>
                <w:sz w:val="18"/>
                <w:szCs w:val="18"/>
                <w:lang w:val="en-US"/>
              </w:rPr>
            </w:pPr>
            <w:r w:rsidRPr="001D25C4">
              <w:rPr>
                <w:rFonts w:ascii="Times New Roman" w:hAnsi="Times New Roman"/>
                <w:sz w:val="18"/>
                <w:szCs w:val="18"/>
              </w:rPr>
              <w:t>Применимо</w:t>
            </w:r>
            <w:r w:rsidRPr="001D25C4">
              <w:rPr>
                <w:rFonts w:ascii="Times New Roman" w:hAnsi="Times New Roman"/>
                <w:sz w:val="18"/>
                <w:szCs w:val="18"/>
                <w:lang w:val="en-US"/>
              </w:rPr>
              <w:t xml:space="preserve"> </w:t>
            </w:r>
            <w:r w:rsidRPr="001D25C4">
              <w:rPr>
                <w:rFonts w:ascii="Times New Roman" w:hAnsi="Times New Roman"/>
                <w:sz w:val="18"/>
                <w:szCs w:val="18"/>
              </w:rPr>
              <w:t>для</w:t>
            </w:r>
            <w:r w:rsidRPr="001D25C4">
              <w:rPr>
                <w:rFonts w:ascii="Times New Roman" w:hAnsi="Times New Roman"/>
                <w:sz w:val="18"/>
                <w:szCs w:val="18"/>
                <w:lang w:val="en-US"/>
              </w:rPr>
              <w:t>: Western Blot, Flow Cytometry (Intra), Flow Cytometry, IP, IHC-P, ICC/IF, ChIP, Dot Blot</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Рекомендуемое разведение: 1/250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p w:rsidR="00D24688" w:rsidRPr="001D25C4" w:rsidRDefault="00D24688" w:rsidP="00C40EE4">
            <w:pPr>
              <w:rPr>
                <w:rFonts w:ascii="Times New Roman" w:hAnsi="Times New Roman"/>
                <w:sz w:val="18"/>
                <w:szCs w:val="18"/>
              </w:rPr>
            </w:pPr>
          </w:p>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SOX9</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к SOX9</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eastAsia="ru-RU"/>
              </w:rPr>
            </w:pPr>
            <w:r w:rsidRPr="001D25C4">
              <w:rPr>
                <w:rFonts w:ascii="Times New Roman" w:hAnsi="Times New Roman"/>
                <w:sz w:val="18"/>
                <w:szCs w:val="18"/>
              </w:rPr>
              <w:t>Клон EPR14335-78</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Реактивность: человек, мышь,крыса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Область применения: иммуногистохимические исследования на парафиновых срезах;иммуноцитохимия/иммунофлюорисценция, проточная цитометрия, вестерн-блоттинг</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SMARCA2 / BRM</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Recombinant к SMARCA2 / BRM</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EPR23103-44</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Реактивность: человек, мышь,крыса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Область применения: иммуногистохимические исследования на парафиновых срезах;иммуноцитохимия/иммунофлюорисценция, проточная цитометрия, вестерн-блоттинг</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SOX-2</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SOX-2</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eastAsia="ru-RU"/>
              </w:rPr>
            </w:pPr>
            <w:r w:rsidRPr="001D25C4">
              <w:rPr>
                <w:rFonts w:ascii="Times New Roman" w:hAnsi="Times New Roman"/>
                <w:sz w:val="18"/>
                <w:szCs w:val="18"/>
              </w:rPr>
              <w:t>Клон  SP76</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Форма выпуска:</w:t>
            </w:r>
            <w:r w:rsidRPr="001D25C4">
              <w:rPr>
                <w:rFonts w:ascii="Times New Roman" w:hAnsi="Times New Roman"/>
                <w:sz w:val="18"/>
                <w:szCs w:val="18"/>
              </w:rPr>
              <w:t xml:space="preserve">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1:50-1:200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eastAsia="Times New Roman" w:hAnsi="Times New Roman"/>
                <w:color w:val="000000"/>
                <w:sz w:val="18"/>
                <w:szCs w:val="18"/>
              </w:rPr>
              <w:t>1</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рецептору соматостатина типа 2</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Антитела кроличьи моноклональные к к рецептору соматостатина типа 2 </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10</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UMB1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мкг</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val="en-US" w:eastAsia="ru-RU"/>
              </w:rPr>
            </w:pPr>
            <w:r w:rsidRPr="001D25C4">
              <w:rPr>
                <w:rFonts w:ascii="Times New Roman" w:hAnsi="Times New Roman"/>
                <w:sz w:val="18"/>
                <w:szCs w:val="18"/>
              </w:rPr>
              <w:t>Антитела</w:t>
            </w:r>
            <w:r w:rsidRPr="001D25C4">
              <w:rPr>
                <w:rFonts w:ascii="Times New Roman" w:hAnsi="Times New Roman"/>
                <w:sz w:val="18"/>
                <w:szCs w:val="18"/>
                <w:lang w:val="en-US"/>
              </w:rPr>
              <w:t xml:space="preserve"> </w:t>
            </w:r>
            <w:r w:rsidRPr="001D25C4">
              <w:rPr>
                <w:rFonts w:ascii="Times New Roman" w:hAnsi="Times New Roman"/>
                <w:sz w:val="18"/>
                <w:szCs w:val="18"/>
              </w:rPr>
              <w:t>к</w:t>
            </w:r>
            <w:r w:rsidRPr="001D25C4">
              <w:rPr>
                <w:rFonts w:ascii="Times New Roman" w:hAnsi="Times New Roman"/>
                <w:sz w:val="18"/>
                <w:szCs w:val="18"/>
                <w:lang w:val="en-US"/>
              </w:rPr>
              <w:t xml:space="preserve"> Somatostatin Receptor 5 (SSTR5)</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поликлональные к Somatostatin Receptor 5</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5</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eastAsia="Times New Roman" w:hAnsi="Times New Roman"/>
                <w:color w:val="000000"/>
                <w:sz w:val="18"/>
                <w:szCs w:val="18"/>
                <w:lang w:eastAsia="ru-RU"/>
              </w:rPr>
            </w:pPr>
            <w:r w:rsidRPr="001D25C4">
              <w:rPr>
                <w:rFonts w:ascii="Times New Roman" w:hAnsi="Times New Roman"/>
                <w:sz w:val="18"/>
                <w:szCs w:val="18"/>
              </w:rPr>
              <w:t>Клон SSTR5</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Методы вестерн-блоттинг, иммуногистохимия</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Буфер для хранения pH: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hAnsi="Times New Roman"/>
                <w:sz w:val="18"/>
                <w:szCs w:val="18"/>
              </w:rPr>
              <w:t>7,2–7,4</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Консервант: 0,01% азида натрия</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Состав: 59% PBS, 40% глицерин, 0,05% BSA.</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1/50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Флакон</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CD42b</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к CD42b</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SP202</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Специфичность: мышь, человек, крыса</w:t>
            </w:r>
          </w:p>
        </w:tc>
        <w:tc>
          <w:tcPr>
            <w:tcW w:w="431"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Разведение IHC-P (человек):  1/100.</w:t>
            </w:r>
          </w:p>
        </w:tc>
        <w:tc>
          <w:tcPr>
            <w:tcW w:w="431"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Изотип антител: IgG</w:t>
            </w:r>
          </w:p>
        </w:tc>
        <w:tc>
          <w:tcPr>
            <w:tcW w:w="431"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Буфер хранения рН: </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7,2–7,4</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Компоненты: PBS, 1% BSA</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Возможность использования при IHC-P, IHC-Fr</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PRAME</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к PRAME</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EPR20330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Форма выпуска: концентрированные</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Рекомендуемое разведение: 1:100-1:500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SALL4</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кроличьи моноклональные к SALL4</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EP299</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Форма выпуска: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1:100-1:200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ATRX</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мышиные моноклональные к ATRX</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CL0537</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Подходит для: IHC-P, ICC, WB</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1/200 - 1/500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INSM1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Мышиное моноклональное антитело к INSM1 </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A-8</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Реактивность/обнаружение видов: мышь, крыса, человек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Применения: WB, IP, IF, IHC(P), ELISA</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200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мкг</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Hsp70</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Антитела мышиные моноклональные Anti-Hsp70 </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упак</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5A5</w:t>
            </w:r>
          </w:p>
          <w:p w:rsidR="00D24688" w:rsidRPr="001D25C4" w:rsidRDefault="00D24688" w:rsidP="00C40EE4">
            <w:pPr>
              <w:rPr>
                <w:rFonts w:ascii="Times New Roman" w:hAnsi="Times New Roman"/>
                <w:sz w:val="18"/>
                <w:szCs w:val="18"/>
              </w:rPr>
            </w:pP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Реактивность - человек, мышь, крыса,зеленая мартышка</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предназначены для использования в вестерн-блоттинге, проточной цитометрии, иммунопреципитации, иммуногистохимии с пероксидазой, иммуноцитохимии/иммунофлуоресценциии</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для использования в иммуногистохимическом анализе парафиновых срезов: 1:100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Флакон</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 250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w:t>
            </w:r>
            <w:r>
              <w:rPr>
                <w:rFonts w:ascii="Times New Roman" w:hAnsi="Times New Roman"/>
                <w:sz w:val="18"/>
                <w:szCs w:val="18"/>
              </w:rPr>
              <w:t>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BRCA1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Антитела мышиные моноклональне к BRCA1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MS110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5 мкг/мл</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мкг</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Inhibin alpha</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Inhibin alpha</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MRQ-63</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Форма выпуска: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1:25-1:100</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Зонд амплификации гена TOP2A</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Флуоресцентный локус-специфичный ДНК-зонд TOP2A, меченный флуорофорами Orange и Green</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Форма выпуска:  готовый к применению</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 для детекции хромосомных аберраций региона 17q21 на 17 хромосоме методом флуоресцентной in situ гибридизации (FISH) на парафиновых срезах фиксированного в формалине материала (FFPE) для проведения исследований в научных целях, не содержащий в составе ДНК человека.</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Возможность гибридизации ДНК – зонда за 120 минут</w:t>
            </w:r>
          </w:p>
        </w:tc>
        <w:tc>
          <w:tcPr>
            <w:tcW w:w="431"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 xml:space="preserve">        ≥</w:t>
            </w:r>
            <w:r w:rsidRPr="001D25C4">
              <w:rPr>
                <w:rFonts w:ascii="Times New Roman" w:hAnsi="Times New Roman"/>
                <w:sz w:val="18"/>
                <w:szCs w:val="18"/>
              </w:rPr>
              <w:t xml:space="preserve"> 10 </w:t>
            </w:r>
          </w:p>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исследований.</w:t>
            </w: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Набор не предназначен для использования в медицинских целях.</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val="en-US" w:eastAsia="ru-RU"/>
              </w:rPr>
            </w:pPr>
            <w:r w:rsidRPr="001D25C4">
              <w:rPr>
                <w:rFonts w:ascii="Times New Roman" w:hAnsi="Times New Roman"/>
                <w:sz w:val="18"/>
                <w:szCs w:val="18"/>
              </w:rPr>
              <w:t>Краситель</w:t>
            </w:r>
            <w:r w:rsidRPr="001D25C4">
              <w:rPr>
                <w:rFonts w:ascii="Times New Roman" w:hAnsi="Times New Roman"/>
                <w:sz w:val="18"/>
                <w:szCs w:val="18"/>
                <w:lang w:val="en-US"/>
              </w:rPr>
              <w:t xml:space="preserve"> DAPI - In Situ Hybridization Staining Solution</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Реагент представляет собой раствор, способствующий защите от выцветания и помогающий сохранить флуоресцентный сигнал</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5</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Состав: DAPI (4',6-диамино-2-фенилиндол), п-Фенилендиамин, глицерол, PBS.</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Концентрация DAPI (флуоресцентный краситель) 250 нг/мл.</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Объем флакона </w:t>
            </w:r>
          </w:p>
          <w:p w:rsidR="00D24688" w:rsidRPr="001D25C4" w:rsidRDefault="00D24688" w:rsidP="00C40EE4">
            <w:pPr>
              <w:spacing w:after="0" w:line="240" w:lineRule="auto"/>
              <w:rPr>
                <w:rFonts w:ascii="Times New Roman" w:hAnsi="Times New Roman"/>
                <w:sz w:val="18"/>
                <w:szCs w:val="18"/>
              </w:rPr>
            </w:pP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200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мкл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Количество исследований</w:t>
            </w:r>
          </w:p>
          <w:p w:rsidR="00D24688" w:rsidRPr="001D25C4" w:rsidRDefault="00D24688" w:rsidP="00C40EE4">
            <w:pPr>
              <w:rPr>
                <w:rFonts w:ascii="Times New Roman" w:hAnsi="Times New Roman"/>
                <w:sz w:val="18"/>
                <w:szCs w:val="18"/>
              </w:rPr>
            </w:pPr>
          </w:p>
        </w:tc>
        <w:tc>
          <w:tcPr>
            <w:tcW w:w="431" w:type="pct"/>
          </w:tcPr>
          <w:p w:rsidR="00D24688" w:rsidRPr="001D25C4" w:rsidRDefault="00D24688" w:rsidP="00C40EE4">
            <w:pPr>
              <w:rPr>
                <w:rFonts w:ascii="Times New Roman" w:hAnsi="Times New Roman"/>
                <w:sz w:val="18"/>
                <w:szCs w:val="18"/>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20 </w:t>
            </w:r>
          </w:p>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тестов</w:t>
            </w:r>
          </w:p>
          <w:p w:rsidR="00D24688" w:rsidRPr="001D25C4" w:rsidRDefault="00D24688" w:rsidP="00C40EE4">
            <w:pPr>
              <w:rPr>
                <w:rFonts w:ascii="Times New Roman" w:hAnsi="Times New Roman"/>
                <w:sz w:val="18"/>
                <w:szCs w:val="18"/>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Набор не предназначен для использования в медицинских целях.</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Антитела к TdT</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TdT</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EP266</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Форма выпуска: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1:100-1:200.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Формат: пластиковый флакон</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hAnsi="Times New Roman"/>
                <w:sz w:val="18"/>
                <w:szCs w:val="18"/>
              </w:rPr>
            </w:pPr>
            <w:r w:rsidRPr="001D25C4">
              <w:rPr>
                <w:rFonts w:ascii="Times New Roman" w:hAnsi="Times New Roman"/>
                <w:sz w:val="18"/>
                <w:szCs w:val="18"/>
              </w:rPr>
              <w:t>Антитела к P504s</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(кроличьи моноклональные) к P504s</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13H4</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Форма выпуска: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1:50-1:200.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Формат: пластиковый флакон</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71"/>
        </w:trPr>
        <w:tc>
          <w:tcPr>
            <w:tcW w:w="345"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hAnsi="Times New Roman"/>
                <w:sz w:val="18"/>
                <w:szCs w:val="18"/>
              </w:rPr>
              <w:t>Антитела к SOX-11</w:t>
            </w:r>
          </w:p>
        </w:tc>
        <w:tc>
          <w:tcPr>
            <w:tcW w:w="418"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Pr>
                <w:rFonts w:ascii="Times New Roman" w:hAnsi="Times New Roman"/>
                <w:sz w:val="18"/>
                <w:szCs w:val="18"/>
              </w:rPr>
              <w:t>20.59.52.199</w:t>
            </w: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Первичные антитела (мышиные моноклональные) к SOX-11</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1</w:t>
            </w:r>
          </w:p>
        </w:tc>
        <w:tc>
          <w:tcPr>
            <w:tcW w:w="223" w:type="pct"/>
            <w:vMerge w:val="restart"/>
            <w:tcBorders>
              <w:top w:val="single" w:sz="6" w:space="0" w:color="000000"/>
              <w:left w:val="single" w:sz="6" w:space="0" w:color="000000"/>
              <w:bottom w:val="single" w:sz="6" w:space="0" w:color="000000"/>
              <w:right w:val="single" w:sz="6" w:space="0" w:color="000000"/>
            </w:tcBorders>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шт</w:t>
            </w:r>
          </w:p>
        </w:tc>
        <w:tc>
          <w:tcPr>
            <w:tcW w:w="399"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val="restar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Клон  MRQ-58</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Форма выпуска: концентрированные</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Предназначены для проведения иммуногистохимических исследований на парафиновых срезах фиксированного в формалине материала.</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Реактивность: человек</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147"/>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Рекомендуемое разведение: 1:25-1:100</w:t>
            </w:r>
          </w:p>
        </w:tc>
        <w:tc>
          <w:tcPr>
            <w:tcW w:w="431"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соответствие</w:t>
            </w:r>
            <w:r w:rsidRPr="001D25C4">
              <w:rPr>
                <w:rFonts w:ascii="Times New Roman" w:eastAsia="Times New Roman" w:hAnsi="Times New Roman"/>
                <w:color w:val="000000"/>
                <w:sz w:val="18"/>
                <w:szCs w:val="18"/>
                <w:lang w:eastAsia="ru-RU"/>
              </w:rPr>
              <w:tab/>
            </w:r>
            <w:r w:rsidRPr="001D25C4">
              <w:rPr>
                <w:rFonts w:ascii="Times New Roman" w:eastAsia="Times New Roman" w:hAnsi="Times New Roman"/>
                <w:color w:val="000000"/>
                <w:sz w:val="18"/>
                <w:szCs w:val="18"/>
                <w:lang w:eastAsia="ru-RU"/>
              </w:rPr>
              <w:tab/>
              <w:t xml:space="preserve"> </w:t>
            </w:r>
          </w:p>
        </w:tc>
        <w:tc>
          <w:tcPr>
            <w:tcW w:w="324"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Значение характеристики не может изменяться участником закупки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r w:rsidR="00D24688" w:rsidRPr="001D25C4" w:rsidTr="00C40EE4">
        <w:trPr>
          <w:trHeight w:val="415"/>
        </w:trPr>
        <w:tc>
          <w:tcPr>
            <w:tcW w:w="345"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418"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782" w:type="pct"/>
          </w:tcPr>
          <w:p w:rsidR="00D24688" w:rsidRPr="001D25C4" w:rsidRDefault="00D24688" w:rsidP="00C40EE4">
            <w:pPr>
              <w:spacing w:after="0" w:line="240" w:lineRule="auto"/>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 xml:space="preserve">Объем </w:t>
            </w:r>
            <w:r w:rsidRPr="001D25C4">
              <w:rPr>
                <w:rFonts w:ascii="Times New Roman" w:hAnsi="Times New Roman"/>
                <w:sz w:val="18"/>
                <w:szCs w:val="18"/>
              </w:rPr>
              <w:t xml:space="preserve"> </w:t>
            </w:r>
          </w:p>
        </w:tc>
        <w:tc>
          <w:tcPr>
            <w:tcW w:w="431" w:type="pct"/>
          </w:tcPr>
          <w:p w:rsidR="00D24688" w:rsidRPr="001D25C4" w:rsidRDefault="00D24688" w:rsidP="00C40EE4">
            <w:pPr>
              <w:spacing w:after="0" w:line="240" w:lineRule="auto"/>
              <w:jc w:val="center"/>
              <w:rPr>
                <w:rFonts w:ascii="Times New Roman" w:eastAsia="Times New Roman" w:hAnsi="Times New Roman"/>
                <w:color w:val="000000"/>
                <w:sz w:val="18"/>
                <w:szCs w:val="18"/>
                <w:lang w:val="en-US" w:eastAsia="ru-RU"/>
              </w:rPr>
            </w:pPr>
            <w:r w:rsidRPr="001D25C4">
              <w:rPr>
                <w:rFonts w:ascii="Times New Roman" w:eastAsia="Times New Roman" w:hAnsi="Times New Roman"/>
                <w:color w:val="000000"/>
                <w:sz w:val="18"/>
                <w:szCs w:val="18"/>
                <w:lang w:eastAsia="ru-RU"/>
              </w:rPr>
              <w:t>≥</w:t>
            </w:r>
            <w:r w:rsidRPr="001D25C4">
              <w:rPr>
                <w:rFonts w:ascii="Times New Roman" w:hAnsi="Times New Roman"/>
                <w:sz w:val="18"/>
                <w:szCs w:val="18"/>
              </w:rPr>
              <w:t xml:space="preserve">1,0 </w:t>
            </w:r>
          </w:p>
        </w:tc>
        <w:tc>
          <w:tcPr>
            <w:tcW w:w="324" w:type="pct"/>
          </w:tcPr>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w:t>
            </w:r>
          </w:p>
          <w:p w:rsidR="00D24688" w:rsidRPr="001D25C4" w:rsidRDefault="00D24688" w:rsidP="00C40EE4">
            <w:pPr>
              <w:rPr>
                <w:rFonts w:ascii="Times New Roman" w:hAnsi="Times New Roman"/>
                <w:sz w:val="18"/>
                <w:szCs w:val="18"/>
              </w:rPr>
            </w:pPr>
            <w:r w:rsidRPr="001D25C4">
              <w:rPr>
                <w:rFonts w:ascii="Times New Roman" w:hAnsi="Times New Roman"/>
                <w:sz w:val="18"/>
                <w:szCs w:val="18"/>
              </w:rPr>
              <w:t xml:space="preserve">     мл</w:t>
            </w:r>
          </w:p>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978" w:type="pct"/>
          </w:tcPr>
          <w:p w:rsidR="00D24688" w:rsidRPr="001D25C4" w:rsidRDefault="00D24688" w:rsidP="00C40EE4">
            <w:pPr>
              <w:spacing w:after="0" w:line="240" w:lineRule="auto"/>
              <w:jc w:val="center"/>
              <w:rPr>
                <w:rFonts w:ascii="Times New Roman" w:eastAsia="Times New Roman" w:hAnsi="Times New Roman"/>
                <w:color w:val="000000"/>
                <w:sz w:val="18"/>
                <w:szCs w:val="18"/>
                <w:lang w:eastAsia="ru-RU"/>
              </w:rPr>
            </w:pPr>
            <w:r w:rsidRPr="001D25C4">
              <w:rPr>
                <w:rFonts w:ascii="Times New Roman" w:eastAsia="Times New Roman" w:hAnsi="Times New Roman"/>
                <w:color w:val="000000"/>
                <w:sz w:val="18"/>
                <w:szCs w:val="18"/>
                <w:lang w:eastAsia="ru-RU"/>
              </w:rPr>
              <w:t>Участник закупки указывает в заявке конкретное значение характеристики</w:t>
            </w:r>
          </w:p>
        </w:tc>
        <w:tc>
          <w:tcPr>
            <w:tcW w:w="3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23"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99"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312"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66"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c>
          <w:tcPr>
            <w:tcW w:w="211" w:type="pct"/>
            <w:vMerge/>
          </w:tcPr>
          <w:p w:rsidR="00D24688" w:rsidRPr="001D25C4" w:rsidRDefault="00D24688" w:rsidP="00C40EE4">
            <w:pPr>
              <w:spacing w:after="0" w:line="240" w:lineRule="auto"/>
              <w:rPr>
                <w:rFonts w:ascii="Times New Roman" w:eastAsia="Times New Roman" w:hAnsi="Times New Roman"/>
                <w:color w:val="000000"/>
                <w:sz w:val="18"/>
                <w:szCs w:val="18"/>
                <w:lang w:eastAsia="ru-RU"/>
              </w:rPr>
            </w:pPr>
          </w:p>
        </w:tc>
      </w:tr>
    </w:tbl>
    <w:p w:rsidR="00170252" w:rsidRDefault="00170252" w:rsidP="000820E3">
      <w:pPr>
        <w:rPr>
          <w:rFonts w:ascii="Times New Roman" w:hAnsi="Times New Roman" w:cs="Times New Roman"/>
          <w:b/>
          <w:sz w:val="28"/>
          <w:szCs w:val="28"/>
        </w:rPr>
      </w:pPr>
    </w:p>
    <w:sectPr w:rsidR="00170252" w:rsidSect="00D24688">
      <w:headerReference w:type="first" r:id="rId19"/>
      <w:footerReference w:type="first" r:id="rId20"/>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522B" w:rsidRDefault="00ED522B">
      <w:pPr>
        <w:spacing w:after="0" w:line="240" w:lineRule="auto"/>
      </w:pPr>
      <w:r>
        <w:separator/>
      </w:r>
    </w:p>
  </w:endnote>
  <w:endnote w:type="continuationSeparator" w:id="0">
    <w:p w:rsidR="00ED522B" w:rsidRDefault="00ED52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B1DAD" w:rsidRDefault="001B1DAD">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B1DAD">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1B1DAD">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1B1DAD">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B1DAD">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D6BEB">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1B1DAD">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AD6BEB">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522B" w:rsidRDefault="00ED522B">
      <w:pPr>
        <w:spacing w:after="0" w:line="240" w:lineRule="auto"/>
      </w:pPr>
      <w:r>
        <w:separator/>
      </w:r>
    </w:p>
  </w:footnote>
  <w:footnote w:type="continuationSeparator" w:id="0">
    <w:p w:rsidR="00ED522B" w:rsidRDefault="00ED522B">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B1DAD" w:rsidRDefault="001B1DAD">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B1DAD" w:rsidRDefault="001B1DAD">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B1DAD" w:rsidRDefault="001B1DAD">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459AF"/>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1DAD"/>
    <w:rsid w:val="001B53BC"/>
    <w:rsid w:val="001B64CA"/>
    <w:rsid w:val="001C00CE"/>
    <w:rsid w:val="001C3568"/>
    <w:rsid w:val="001C3FE4"/>
    <w:rsid w:val="001E2F36"/>
    <w:rsid w:val="001F4949"/>
    <w:rsid w:val="001F575C"/>
    <w:rsid w:val="00204D4E"/>
    <w:rsid w:val="002066B1"/>
    <w:rsid w:val="0021224E"/>
    <w:rsid w:val="00213BCE"/>
    <w:rsid w:val="002163C8"/>
    <w:rsid w:val="00221C8B"/>
    <w:rsid w:val="00225BCF"/>
    <w:rsid w:val="00225DAD"/>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D6BEB"/>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24688"/>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D522B"/>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qFormat/>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qFormat/>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qFormat/>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qFormat/>
    <w:rsid w:val="00E70CD9"/>
    <w:rPr>
      <w:rFonts w:ascii="Tahoma" w:hAnsi="Tahoma" w:cs="Tahoma"/>
      <w:sz w:val="16"/>
      <w:szCs w:val="16"/>
    </w:rPr>
  </w:style>
  <w:style w:type="paragraph" w:styleId="ab">
    <w:name w:val="footer"/>
    <w:basedOn w:val="a0"/>
    <w:link w:val="ac"/>
    <w:uiPriority w:val="99"/>
    <w:unhideWhenUsed/>
    <w:qFormat/>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qFormat/>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qFormat/>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qFormat/>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qFormat/>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qFormat/>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qFormat/>
    <w:rsid w:val="00DB5EE8"/>
    <w:rPr>
      <w:vertAlign w:val="superscript"/>
    </w:rPr>
  </w:style>
  <w:style w:type="paragraph" w:customStyle="1" w:styleId="af3">
    <w:name w:val="_Обычный без красной строки"/>
    <w:link w:val="af4"/>
    <w:uiPriority w:val="99"/>
    <w:qFormat/>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qFormat/>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qFormat/>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qFormat/>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paragraph" w:customStyle="1" w:styleId="af9">
    <w:basedOn w:val="a0"/>
    <w:next w:val="af5"/>
    <w:uiPriority w:val="99"/>
    <w:unhideWhenUsed/>
    <w:rsid w:val="00D246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Список литературы1"/>
    <w:basedOn w:val="a0"/>
    <w:next w:val="a0"/>
    <w:uiPriority w:val="37"/>
    <w:unhideWhenUsed/>
    <w:rsid w:val="00D24688"/>
    <w:pPr>
      <w:tabs>
        <w:tab w:val="left" w:pos="360"/>
      </w:tabs>
      <w:spacing w:after="0" w:line="240" w:lineRule="auto"/>
      <w:contextualSpacing/>
    </w:pPr>
    <w:rPr>
      <w:rFonts w:ascii="Arial Narrow" w:eastAsia="SimSun" w:hAnsi="Arial Narrow" w:cs="Times New Roman"/>
      <w:sz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v8doc:e1cib/data/&#1057;&#1087;&#1088;&#1072;&#1074;&#1086;&#1095;&#1085;&#1080;&#1082;.&#1047;&#1085;&#1072;&#1095;&#1077;&#1085;&#1080;&#1103;&#1057;&#1074;&#1086;&#1081;&#1089;&#1090;&#1074;&#1054;&#1073;&#1098;&#1077;&#1082;&#1090;&#1086;&#1074;?ref=80e800505696ceed11efd3113a26bcaa"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BE012-A8B3-4CC1-A900-BF0F60DB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5766</Words>
  <Characters>32870</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2026-08-05T10:22:00Z</dcterms:created>
  <dcterms:modified xsi:type="dcterms:W3CDTF">2026-08-05T10:22:00Z</dcterms:modified>
</cp:coreProperties>
</file>