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2"/>
        <w:gridCol w:w="564"/>
        <w:gridCol w:w="945"/>
        <w:gridCol w:w="735"/>
        <w:gridCol w:w="2139"/>
        <w:gridCol w:w="1155"/>
        <w:gridCol w:w="735"/>
        <w:gridCol w:w="866"/>
        <w:gridCol w:w="748"/>
        <w:gridCol w:w="827"/>
        <w:gridCol w:w="1063"/>
        <w:gridCol w:w="1234"/>
        <w:gridCol w:w="1037"/>
      </w:tblGrid>
      <w:tr w:rsidR="00D246A8" w:rsidTr="00FE32F2">
        <w:tc>
          <w:tcPr>
            <w:tcW w:w="12140" w:type="dxa"/>
            <w:gridSpan w:val="13"/>
            <w:shd w:val="clear" w:color="FFFFFF" w:fill="auto"/>
            <w:vAlign w:val="bottom"/>
          </w:tcPr>
          <w:p w:rsidR="00D246A8" w:rsidRDefault="00FE32F2">
            <w:r>
              <w:pict>
                <v:rect id="_x0000_s1026" style="position:absolute;margin-left:24pt;margin-top:0;width:491pt;height:81pt;z-index:251657728">
                  <v:fill r:id="rId5" o:title="image000" type="frame"/>
                </v:rect>
              </w:pict>
            </w: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-1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pStyle w:val="1CStyle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pStyle w:val="1CStyle-1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pStyle w:val="1CStyle1"/>
            </w:pPr>
          </w:p>
        </w:tc>
        <w:tc>
          <w:tcPr>
            <w:tcW w:w="21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6A8" w:rsidRDefault="00FE32F2" w:rsidP="00FE32F2">
            <w:pPr>
              <w:pStyle w:val="1CStyle2"/>
            </w:pPr>
            <w:r w:rsidRPr="00FE32F2">
              <w:t xml:space="preserve">22.08.2019 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E0487D">
            <w:pPr>
              <w:pStyle w:val="1CStyle-1"/>
            </w:pPr>
            <w:r>
              <w:t>№</w:t>
            </w:r>
          </w:p>
        </w:tc>
        <w:tc>
          <w:tcPr>
            <w:tcW w:w="160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246A8" w:rsidRDefault="00FE32F2">
            <w:pPr>
              <w:pStyle w:val="1CStyle3"/>
            </w:pPr>
            <w:bookmarkStart w:id="0" w:name="_GoBack"/>
            <w:bookmarkEnd w:id="0"/>
            <w:r w:rsidRPr="00FE32F2">
              <w:t xml:space="preserve"> 05-07/598</w:t>
            </w: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pStyle w:val="1CStyle4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pStyle w:val="1CStyle5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pStyle w:val="1CStyle6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7"/>
            </w:pPr>
          </w:p>
        </w:tc>
        <w:tc>
          <w:tcPr>
            <w:tcW w:w="977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869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center"/>
          </w:tcPr>
          <w:p w:rsidR="00D246A8" w:rsidRDefault="00E0487D">
            <w:pPr>
              <w:pStyle w:val="1CStyle10"/>
            </w:pPr>
            <w:r>
              <w:t>Поставка лекарственных препаратов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rPr>
          <w:trHeight w:hRule="exact" w:val="600"/>
        </w:trPr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205" w:type="dxa"/>
            <w:gridSpan w:val="7"/>
            <w:shd w:val="clear" w:color="FFFFFF" w:fill="DCDCDC"/>
            <w:vAlign w:val="bottom"/>
          </w:tcPr>
          <w:p w:rsidR="00D246A8" w:rsidRDefault="00F406FF">
            <w:pPr>
              <w:pStyle w:val="1CStyle11"/>
            </w:pPr>
            <w:r>
              <w:t>ВОРИКОНАЗОЛ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rPr>
          <w:trHeight w:hRule="exact" w:val="315"/>
        </w:trPr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9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9"/>
            </w:pPr>
            <w:r>
              <w:t>Основные требования: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869" w:type="dxa"/>
            <w:gridSpan w:val="11"/>
            <w:shd w:val="clear" w:color="FFFFFF" w:fill="auto"/>
            <w:vAlign w:val="bottom"/>
          </w:tcPr>
          <w:p w:rsidR="00D246A8" w:rsidRDefault="00D246A8">
            <w:pPr>
              <w:pStyle w:val="1CStyle12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F406FF">
            <w:pPr>
              <w:pStyle w:val="1CStyle14"/>
              <w:jc w:val="left"/>
            </w:pPr>
            <w:r>
              <w:t>09.2019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стоимость товара без НДС и оптовой надбавки</w:t>
            </w:r>
            <w:proofErr w:type="gramStart"/>
            <w:r>
              <w:br/>
              <w:t>В</w:t>
            </w:r>
            <w:proofErr w:type="gramEnd"/>
            <w:r>
              <w:t xml:space="preserve">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>
              <w:br/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7"/>
            </w:pPr>
            <w:r>
              <w:t>5 партий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Поставка Товара осуществляется Поставщиком в течение 10 (десяти) рабочих дней после поступления заявки от Покупателя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7"/>
            </w:pPr>
            <w:r>
              <w:t>не ранее</w:t>
            </w:r>
            <w:r w:rsidR="00F406FF">
              <w:t xml:space="preserve"> 12.2020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D246A8">
            <w:pPr>
              <w:pStyle w:val="1CStyle14"/>
              <w:jc w:val="left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4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246A8" w:rsidRDefault="00E0487D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3"/>
              <w:jc w:val="left"/>
            </w:pPr>
          </w:p>
        </w:tc>
        <w:tc>
          <w:tcPr>
            <w:tcW w:w="5538" w:type="dxa"/>
            <w:gridSpan w:val="5"/>
            <w:shd w:val="clear" w:color="FFFFFF" w:fill="auto"/>
          </w:tcPr>
          <w:p w:rsidR="00D246A8" w:rsidRDefault="00D246A8">
            <w:pPr>
              <w:pStyle w:val="1CStyle19"/>
              <w:jc w:val="left"/>
            </w:pPr>
          </w:p>
        </w:tc>
        <w:tc>
          <w:tcPr>
            <w:tcW w:w="4239" w:type="dxa"/>
            <w:gridSpan w:val="5"/>
            <w:shd w:val="clear" w:color="FFFFFF" w:fill="auto"/>
          </w:tcPr>
          <w:p w:rsidR="00D246A8" w:rsidRDefault="00D246A8">
            <w:pPr>
              <w:pStyle w:val="1CStyle20"/>
              <w:jc w:val="left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pStyle w:val="1CStyle21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15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22"/>
            </w:pPr>
          </w:p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22"/>
            </w:pPr>
            <w:r>
              <w:t>Спецификация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23"/>
            </w:pP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24"/>
            </w:pPr>
            <w:r>
              <w:t>№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25"/>
            </w:pPr>
            <w:r>
              <w:t>Материал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D246A8" w:rsidRDefault="00E0487D">
            <w:pPr>
              <w:pStyle w:val="1CStyle27"/>
            </w:pPr>
            <w:r>
              <w:t>№ и дата РУ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29"/>
            </w:pPr>
            <w:r>
              <w:t>Ед. изм. по ОКЕИ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30"/>
            </w:pPr>
            <w:r>
              <w:t>Кол-во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D246A8" w:rsidRDefault="00E0487D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D246A8" w:rsidRDefault="00E0487D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pStyle w:val="1CStyle33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34"/>
            </w:pPr>
            <w:r>
              <w:t>1</w:t>
            </w:r>
          </w:p>
        </w:tc>
        <w:tc>
          <w:tcPr>
            <w:tcW w:w="16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35"/>
            </w:pPr>
            <w:r>
              <w:t>ВОРИКОНАЗОЛ</w:t>
            </w:r>
          </w:p>
        </w:tc>
        <w:tc>
          <w:tcPr>
            <w:tcW w:w="32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F406FF">
            <w:pPr>
              <w:pStyle w:val="1CStyle36"/>
            </w:pPr>
            <w:r>
              <w:t xml:space="preserve">МНН: </w:t>
            </w:r>
            <w:proofErr w:type="spellStart"/>
            <w:r>
              <w:t>Вориконазол</w:t>
            </w:r>
            <w:proofErr w:type="spellEnd"/>
            <w:r>
              <w:br/>
              <w:t>Лекарственная форма: порошок для приготовления суспензии для приема внутрь</w:t>
            </w:r>
            <w:r>
              <w:br/>
              <w:t>Дозировка: 40 мг/мл</w:t>
            </w:r>
            <w:r>
              <w:br/>
              <w:t>Количество лекарственной формы в первичной упаковке 45 г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246A8" w:rsidRDefault="00D246A8">
            <w:pPr>
              <w:pStyle w:val="1CStyle37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38"/>
            </w:pPr>
            <w:r>
              <w:t>21.20.10.192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*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E0487D">
            <w:pPr>
              <w:pStyle w:val="1CStyle40"/>
            </w:pPr>
            <w:r>
              <w:t>100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D246A8">
            <w:pPr>
              <w:pStyle w:val="1CStyle40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46A8" w:rsidRDefault="00D246A8">
            <w:pPr>
              <w:pStyle w:val="1CStyle40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2139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748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center"/>
          </w:tcPr>
          <w:p w:rsidR="00D246A8" w:rsidRDefault="00E0487D">
            <w:pPr>
              <w:pStyle w:val="1CStyle41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42"/>
              <w:jc w:val="left"/>
            </w:pPr>
            <w:r>
              <w:t>- первичная упаковка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43"/>
            </w:pPr>
            <w: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FFFF00"/>
            <w:vAlign w:val="bottom"/>
          </w:tcPr>
          <w:p w:rsidR="00D246A8" w:rsidRDefault="00E0487D">
            <w:pPr>
              <w:pStyle w:val="1CStyle44"/>
            </w:pPr>
            <w:r>
              <w:t>*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center"/>
          </w:tcPr>
          <w:p w:rsidR="00D246A8" w:rsidRDefault="00E0487D">
            <w:pPr>
              <w:pStyle w:val="1CStyle47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E0487D">
            <w:pPr>
              <w:pStyle w:val="1CStyle49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E0487D">
            <w:pPr>
              <w:pStyle w:val="1CStyle49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E0487D">
            <w:pPr>
              <w:pStyle w:val="1CStyle49"/>
            </w:pPr>
            <w:r>
              <w:t>3.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E0487D">
            <w:pPr>
              <w:pStyle w:val="1CStyle49"/>
            </w:pPr>
            <w:r>
              <w:t>4.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center"/>
          </w:tcPr>
          <w:p w:rsidR="00D246A8" w:rsidRDefault="00E0487D">
            <w:pPr>
              <w:pStyle w:val="1CStyle51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E0487D">
            <w:pPr>
              <w:pStyle w:val="1CStyle49"/>
            </w:pPr>
            <w:r>
              <w:t>1.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bottom"/>
          </w:tcPr>
          <w:p w:rsidR="00D246A8" w:rsidRDefault="00E0487D">
            <w:pPr>
              <w:pStyle w:val="1CStyle49"/>
            </w:pPr>
            <w:r>
              <w:t>2.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564" w:type="dxa"/>
            <w:shd w:val="clear" w:color="FFFFFF" w:fill="auto"/>
            <w:vAlign w:val="center"/>
          </w:tcPr>
          <w:p w:rsidR="00D246A8" w:rsidRDefault="00E0487D">
            <w:pPr>
              <w:pStyle w:val="1CStyle51"/>
            </w:pPr>
            <w:r>
              <w:t>•</w:t>
            </w:r>
          </w:p>
        </w:tc>
        <w:tc>
          <w:tcPr>
            <w:tcW w:w="10447" w:type="dxa"/>
            <w:gridSpan w:val="10"/>
            <w:shd w:val="clear" w:color="FFFFFF" w:fill="auto"/>
            <w:vAlign w:val="bottom"/>
          </w:tcPr>
          <w:p w:rsidR="00D246A8" w:rsidRDefault="00E0487D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  <w:tr w:rsidR="00D246A8" w:rsidTr="00FE32F2">
        <w:tc>
          <w:tcPr>
            <w:tcW w:w="92" w:type="dxa"/>
            <w:shd w:val="clear" w:color="FFFFFF" w:fill="auto"/>
            <w:vAlign w:val="bottom"/>
          </w:tcPr>
          <w:p w:rsidR="00D246A8" w:rsidRDefault="00D246A8"/>
        </w:tc>
        <w:tc>
          <w:tcPr>
            <w:tcW w:w="11011" w:type="dxa"/>
            <w:gridSpan w:val="11"/>
            <w:shd w:val="clear" w:color="FFFFFF" w:fill="auto"/>
            <w:vAlign w:val="bottom"/>
          </w:tcPr>
          <w:p w:rsidR="00D246A8" w:rsidRDefault="00E0487D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92" w:type="dxa"/>
            <w:shd w:val="clear" w:color="FFFFFF" w:fill="auto"/>
            <w:vAlign w:val="bottom"/>
          </w:tcPr>
          <w:p w:rsidR="00D246A8" w:rsidRDefault="00D246A8">
            <w:pPr>
              <w:jc w:val="center"/>
            </w:pPr>
          </w:p>
        </w:tc>
      </w:tr>
    </w:tbl>
    <w:p w:rsidR="00E0487D" w:rsidRDefault="00E0487D"/>
    <w:sectPr w:rsidR="00E0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6A8"/>
    <w:rsid w:val="00D246A8"/>
    <w:rsid w:val="00E0487D"/>
    <w:rsid w:val="00F406FF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246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D246A8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D246A8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D246A8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D246A8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D246A8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D246A8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D246A8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D246A8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D246A8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D246A8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D246A8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D246A8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D246A8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D246A8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D246A8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D246A8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D246A8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D246A8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D246A8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D246A8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D246A8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D246A8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D246A8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D246A8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D246A8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D246A8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D246A8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D246A8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D246A8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D246A8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D246A8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D246A8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D246A8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D246A8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D246A8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D246A8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D246A8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D246A8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D246A8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D246A8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D246A8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D246A8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D246A8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D246A8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D246A8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D246A8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D246A8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D246A8"/>
    <w:pPr>
      <w:jc w:val="center"/>
    </w:pPr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4</cp:revision>
  <dcterms:created xsi:type="dcterms:W3CDTF">2019-08-21T08:54:00Z</dcterms:created>
  <dcterms:modified xsi:type="dcterms:W3CDTF">2019-08-22T08:06:00Z</dcterms:modified>
</cp:coreProperties>
</file>