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10.02.2020 № 10.7-05/73</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80474C" w:rsidP="00637F5D">
                  <w:pPr>
                    <w:ind w:right="-1"/>
                    <w:jc w:val="right"/>
                    <w:rPr>
                      <w:rFonts w:ascii="Times New Roman" w:hAnsi="Times New Roman" w:cs="Times New Roman"/>
                      <w:sz w:val="24"/>
                      <w:szCs w:val="24"/>
                    </w:rPr>
                  </w:pPr>
                  <w:r>
                    <w:rPr>
                      <w:rFonts w:ascii="Times New Roman" w:hAnsi="Times New Roman" w:cs="Times New Roman"/>
                      <w:b/>
                      <w:sz w:val="24"/>
                      <w:szCs w:val="24"/>
                      <w:u w:val="single"/>
                    </w:rPr>
                    <w:t>24.02.2019</w:t>
                  </w:r>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5400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283" w:footer="709"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0437D6" w:rsidRPr="00E961F8" w:rsidTr="000437D6">
        <w:tc>
          <w:tcPr>
            <w:tcW w:w="490" w:type="dxa"/>
            <w:tcBorders>
              <w:top w:val="nil"/>
              <w:left w:val="nil"/>
              <w:bottom w:val="single" w:sz="4" w:space="0" w:color="auto"/>
              <w:right w:val="nil"/>
            </w:tcBorders>
          </w:tcPr>
          <w:p w:rsidR="000437D6" w:rsidRDefault="000437D6" w:rsidP="00170252">
            <w:pPr>
              <w:tabs>
                <w:tab w:val="left" w:pos="284"/>
              </w:tabs>
              <w:jc w:val="center"/>
              <w:rPr>
                <w:rFonts w:ascii="Times New Roman" w:hAnsi="Times New Roman" w:cs="Times New Roman"/>
              </w:rPr>
            </w:pPr>
          </w:p>
        </w:tc>
        <w:tc>
          <w:tcPr>
            <w:tcW w:w="9717" w:type="dxa"/>
            <w:tcBorders>
              <w:top w:val="nil"/>
              <w:left w:val="nil"/>
              <w:bottom w:val="single" w:sz="4" w:space="0" w:color="auto"/>
              <w:right w:val="nil"/>
            </w:tcBorders>
          </w:tcPr>
          <w:p w:rsidR="000437D6" w:rsidRPr="00450429" w:rsidRDefault="000437D6" w:rsidP="006D3E20">
            <w:pPr>
              <w:ind w:right="-1"/>
              <w:rPr>
                <w:rFonts w:ascii="Times New Roman" w:hAnsi="Times New Roman" w:cs="Times New Roman"/>
                <w:sz w:val="24"/>
                <w:szCs w:val="26"/>
              </w:rPr>
            </w:pPr>
          </w:p>
        </w:tc>
        <w:tc>
          <w:tcPr>
            <w:tcW w:w="5211" w:type="dxa"/>
            <w:tcBorders>
              <w:top w:val="nil"/>
              <w:left w:val="nil"/>
              <w:bottom w:val="single" w:sz="4" w:space="0" w:color="auto"/>
              <w:right w:val="nil"/>
            </w:tcBorders>
          </w:tcPr>
          <w:p w:rsidR="000437D6" w:rsidRPr="00450429" w:rsidRDefault="000437D6" w:rsidP="000437D6">
            <w:pPr>
              <w:tabs>
                <w:tab w:val="left" w:pos="1530"/>
              </w:tabs>
              <w:ind w:right="-1"/>
              <w:jc w:val="right"/>
              <w:rPr>
                <w:rFonts w:ascii="Times New Roman" w:hAnsi="Times New Roman" w:cs="Times New Roman"/>
                <w:sz w:val="24"/>
                <w:szCs w:val="26"/>
              </w:rPr>
            </w:pPr>
            <w:r>
              <w:rPr>
                <w:rFonts w:ascii="Times New Roman" w:hAnsi="Times New Roman" w:cs="Times New Roman"/>
                <w:sz w:val="24"/>
                <w:szCs w:val="26"/>
              </w:rPr>
              <w:tab/>
              <w:t>Приложение</w:t>
            </w:r>
          </w:p>
        </w:tc>
      </w:tr>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2"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2"/>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3"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сопровождению системы автоматизации библиотек "ИРБИС 64"</w:t>
            </w:r>
            <w:r w:rsidRPr="004329AE">
              <w:rPr>
                <w:rFonts w:ascii="Times New Roman" w:hAnsi="Times New Roman" w:cs="Times New Roman"/>
                <w:b/>
                <w:sz w:val="24"/>
                <w:szCs w:val="24"/>
              </w:rPr>
              <w:fldChar w:fldCharType="end"/>
            </w:r>
            <w:bookmarkEnd w:id="3"/>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F3582B" w:rsidP="00742657">
            <w:pPr>
              <w:ind w:right="-1"/>
              <w:rPr>
                <w:rFonts w:ascii="Times New Roman" w:hAnsi="Times New Roman" w:cs="Times New Roman"/>
                <w:sz w:val="24"/>
                <w:szCs w:val="26"/>
              </w:rPr>
            </w:pPr>
            <w:r>
              <w:rPr>
                <w:rFonts w:ascii="Times New Roman" w:hAnsi="Times New Roman" w:cs="Times New Roman"/>
                <w:sz w:val="24"/>
                <w:szCs w:val="26"/>
              </w:rPr>
              <w:t>Код ОКПД2</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4"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620312130</w:t>
            </w:r>
            <w:r w:rsidRPr="005B710E">
              <w:rPr>
                <w:rFonts w:ascii="Times New Roman" w:hAnsi="Times New Roman" w:cs="Times New Roman"/>
                <w:sz w:val="24"/>
                <w:szCs w:val="24"/>
              </w:rPr>
              <w:fldChar w:fldCharType="end"/>
            </w:r>
            <w:bookmarkEnd w:id="4"/>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5"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197758, Россия, г. Санкт- Петербург, п. Песочный, ул. Ленинградская, дом 68</w:t>
            </w:r>
            <w:r w:rsidRPr="00402525">
              <w:rPr>
                <w:rFonts w:ascii="Times New Roman" w:hAnsi="Times New Roman" w:cs="Times New Roman"/>
                <w:sz w:val="24"/>
                <w:szCs w:val="24"/>
              </w:rPr>
              <w:fldChar w:fldCharType="end"/>
            </w:r>
            <w:bookmarkEnd w:id="5"/>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6"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7"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7"/>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8"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8"/>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9"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9"/>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0"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рабочие дни, с 10.00 до 18.00</w:t>
            </w:r>
            <w:r w:rsidRPr="001347C5">
              <w:rPr>
                <w:rFonts w:ascii="Times New Roman" w:hAnsi="Times New Roman" w:cs="Times New Roman"/>
                <w:sz w:val="24"/>
                <w:szCs w:val="24"/>
              </w:rPr>
              <w:fldChar w:fldCharType="end"/>
            </w:r>
            <w:bookmarkEnd w:id="10"/>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1"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заключении Контракта с субъектами малого предпринимательства (СМП) - в течение 15 (пятнадцати) рабочих дней
                <w:c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2"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3"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3"/>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4"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5"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6"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6"/>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7"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8"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Постановление Правительства РФ от 16.11.2015г. № 1236 </w:t>
            </w:r>
            <w:r w:rsidRPr="001347C5">
              <w:rPr>
                <w:rFonts w:ascii="Times New Roman" w:hAnsi="Times New Roman" w:cs="Times New Roman"/>
                <w:sz w:val="24"/>
                <w:szCs w:val="24"/>
              </w:rPr>
              <w:lastRenderedPageBreak/>
              <w:t>16.11.2015г. № 1236</w:t>
            </w:r>
            <w:r w:rsidRPr="001347C5">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lastRenderedPageBreak/>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19"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0"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1, усл. ед.</w:t>
            </w:r>
            <w:r w:rsidRPr="001347C5">
              <w:rPr>
                <w:rFonts w:ascii="Times New Roman" w:hAnsi="Times New Roman" w:cs="Times New Roman"/>
                <w:sz w:val="24"/>
                <w:szCs w:val="24"/>
              </w:rPr>
              <w:fldChar w:fldCharType="end"/>
            </w:r>
            <w:bookmarkEnd w:id="20"/>
          </w:p>
        </w:tc>
      </w:tr>
    </w:tbl>
    <w:p w:rsidR="001B53BC" w:rsidRDefault="001B53BC" w:rsidP="00E961F8">
      <w:pPr>
        <w:ind w:left="-426" w:right="-1" w:firstLine="568"/>
        <w:jc w:val="center"/>
        <w:rPr>
          <w:rFonts w:ascii="Times New Roman" w:hAnsi="Times New Roman" w:cs="Times New Roman"/>
          <w:b/>
          <w:sz w:val="28"/>
          <w:szCs w:val="28"/>
        </w:rPr>
        <w:sectPr w:rsidR="001B53BC" w:rsidSect="006B0C1A">
          <w:headerReference w:type="first" r:id="rId16"/>
          <w:pgSz w:w="16838" w:h="11906" w:orient="landscape"/>
          <w:pgMar w:top="568" w:right="567" w:bottom="1701" w:left="992" w:header="284" w:footer="709" w:gutter="0"/>
          <w:cols w:space="708"/>
          <w:titlePg/>
          <w:docGrid w:linePitch="360"/>
        </w:sectPr>
      </w:pPr>
    </w:p>
    <w:p w:rsidR="000437D6" w:rsidRDefault="000437D6" w:rsidP="000437D6">
      <w:pPr>
        <w:widowControl w:val="0"/>
        <w:spacing w:after="0"/>
        <w:ind w:left="284"/>
        <w:jc w:val="right"/>
        <w:rPr>
          <w:rFonts w:ascii="Times New Roman" w:hAnsi="Times New Roman"/>
          <w:b/>
          <w:sz w:val="24"/>
          <w:szCs w:val="26"/>
        </w:rPr>
      </w:pPr>
      <w:r>
        <w:rPr>
          <w:rFonts w:ascii="Times New Roman" w:hAnsi="Times New Roman" w:cs="Times New Roman"/>
          <w:sz w:val="24"/>
          <w:szCs w:val="26"/>
        </w:rPr>
        <w:t>Приложение</w:t>
      </w: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p w:rsidR="0080474C" w:rsidRPr="00D1032D" w:rsidRDefault="0080474C" w:rsidP="0080474C">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p>
    <w:p w:rsidR="0080474C" w:rsidRPr="00D1032D" w:rsidRDefault="0080474C" w:rsidP="0080474C">
      <w:pPr>
        <w:pStyle w:val="a7"/>
        <w:widowControl w:val="0"/>
        <w:spacing w:after="0"/>
        <w:ind w:left="644"/>
        <w:rPr>
          <w:rFonts w:ascii="Times New Roman" w:eastAsia="Courier New" w:hAnsi="Times New Roman" w:cs="Times New Roman"/>
          <w:b/>
        </w:rPr>
      </w:pPr>
    </w:p>
    <w:tbl>
      <w:tblPr>
        <w:tblW w:w="471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0064"/>
      </w:tblGrid>
      <w:tr w:rsidR="0080474C" w:rsidRPr="00E406C1" w:rsidTr="00002C8D">
        <w:trPr>
          <w:trHeight w:val="371"/>
        </w:trPr>
        <w:tc>
          <w:tcPr>
            <w:tcW w:w="1651" w:type="pct"/>
          </w:tcPr>
          <w:p w:rsidR="0080474C" w:rsidRPr="00E406C1" w:rsidRDefault="0080474C" w:rsidP="006F7C82">
            <w:pPr>
              <w:shd w:val="clear" w:color="auto" w:fill="FFFFFF"/>
              <w:jc w:val="center"/>
              <w:rPr>
                <w:rFonts w:ascii="Times New Roman" w:hAnsi="Times New Roman"/>
                <w:b/>
              </w:rPr>
            </w:pPr>
            <w:r w:rsidRPr="00E406C1">
              <w:rPr>
                <w:rFonts w:ascii="Times New Roman" w:hAnsi="Times New Roman"/>
                <w:b/>
              </w:rPr>
              <w:t>Наименование услуги</w:t>
            </w:r>
          </w:p>
        </w:tc>
        <w:tc>
          <w:tcPr>
            <w:tcW w:w="3349" w:type="pct"/>
          </w:tcPr>
          <w:p w:rsidR="0080474C" w:rsidRPr="00E406C1" w:rsidRDefault="0080474C" w:rsidP="006F7C82">
            <w:pPr>
              <w:shd w:val="clear" w:color="auto" w:fill="FFFFFF"/>
              <w:jc w:val="center"/>
              <w:rPr>
                <w:rFonts w:ascii="Times New Roman" w:hAnsi="Times New Roman"/>
                <w:b/>
              </w:rPr>
            </w:pPr>
            <w:r w:rsidRPr="00E406C1">
              <w:rPr>
                <w:rFonts w:ascii="Times New Roman" w:hAnsi="Times New Roman"/>
                <w:b/>
              </w:rPr>
              <w:t>Характеристики услуги</w:t>
            </w:r>
          </w:p>
        </w:tc>
      </w:tr>
      <w:tr w:rsidR="0080474C" w:rsidRPr="00E406C1" w:rsidTr="00002C8D">
        <w:trPr>
          <w:trHeight w:val="686"/>
        </w:trPr>
        <w:tc>
          <w:tcPr>
            <w:tcW w:w="1651" w:type="pct"/>
          </w:tcPr>
          <w:p w:rsidR="0080474C" w:rsidRPr="00E406C1" w:rsidRDefault="0080474C" w:rsidP="006F7C82">
            <w:pPr>
              <w:ind w:left="34" w:hanging="34"/>
              <w:rPr>
                <w:rFonts w:ascii="Times New Roman" w:hAnsi="Times New Roman"/>
                <w:b/>
              </w:rPr>
            </w:pPr>
            <w:r w:rsidRPr="00E406C1">
              <w:rPr>
                <w:rFonts w:ascii="Times New Roman" w:hAnsi="Times New Roman"/>
                <w:b/>
              </w:rPr>
              <w:t>Сопровождение</w:t>
            </w:r>
          </w:p>
        </w:tc>
        <w:tc>
          <w:tcPr>
            <w:tcW w:w="3349" w:type="pct"/>
          </w:tcPr>
          <w:p w:rsidR="0080474C" w:rsidRPr="00A3594D" w:rsidRDefault="0080474C" w:rsidP="006F7C82">
            <w:pPr>
              <w:spacing w:after="0" w:line="240" w:lineRule="auto"/>
              <w:ind w:firstLine="329"/>
              <w:jc w:val="both"/>
              <w:rPr>
                <w:rFonts w:ascii="Times New Roman" w:hAnsi="Times New Roman" w:cs="Times New Roman"/>
              </w:rPr>
            </w:pPr>
            <w:r w:rsidRPr="00A3594D">
              <w:rPr>
                <w:rFonts w:ascii="Times New Roman" w:hAnsi="Times New Roman" w:cs="Times New Roman"/>
              </w:rPr>
              <w:t>Установка новых версий САБ ИРБИС 64</w:t>
            </w:r>
            <w:r>
              <w:rPr>
                <w:rFonts w:ascii="Times New Roman" w:hAnsi="Times New Roman" w:cs="Times New Roman"/>
              </w:rPr>
              <w:t>1</w:t>
            </w:r>
            <w:r w:rsidRPr="00A3594D">
              <w:rPr>
                <w:rFonts w:ascii="Times New Roman" w:hAnsi="Times New Roman" w:cs="Times New Roman"/>
              </w:rPr>
              <w:t xml:space="preserve"> (в составе: ТСР/IP сервер (10 лицензий), АРМ «Администратор», АРМ «Каталогизатор», J-ИРБИС 2.0). </w:t>
            </w:r>
          </w:p>
          <w:p w:rsidR="0080474C" w:rsidRPr="00A3594D" w:rsidRDefault="0080474C" w:rsidP="006F7C82">
            <w:pPr>
              <w:spacing w:after="0" w:line="240" w:lineRule="auto"/>
              <w:ind w:firstLine="329"/>
              <w:rPr>
                <w:rFonts w:ascii="Times New Roman" w:hAnsi="Times New Roman" w:cs="Times New Roman"/>
              </w:rPr>
            </w:pPr>
            <w:r w:rsidRPr="00A3594D">
              <w:rPr>
                <w:rFonts w:ascii="Times New Roman" w:hAnsi="Times New Roman" w:cs="Times New Roman"/>
              </w:rPr>
              <w:t xml:space="preserve">Новая версия модуля </w:t>
            </w:r>
            <w:r w:rsidRPr="00A3594D">
              <w:rPr>
                <w:rFonts w:ascii="Times New Roman" w:hAnsi="Times New Roman" w:cs="Times New Roman"/>
                <w:lang w:val="en-US"/>
              </w:rPr>
              <w:t>J</w:t>
            </w:r>
            <w:r w:rsidRPr="00A3594D">
              <w:rPr>
                <w:rFonts w:ascii="Times New Roman" w:hAnsi="Times New Roman" w:cs="Times New Roman"/>
              </w:rPr>
              <w:t xml:space="preserve">-ИРБИС 2.0 должна включать реализацию </w:t>
            </w:r>
            <w:r w:rsidRPr="00A3594D">
              <w:rPr>
                <w:rFonts w:ascii="Times New Roman" w:hAnsi="Times New Roman" w:cs="Times New Roman"/>
                <w:lang w:eastAsia="ru-RU"/>
              </w:rPr>
              <w:t>возможности самостоятельного удалённого получения пароля читателем, а также функцию предварительной регистрации. Завершение регистрации, с предоставлением соответствующих прав, должно происходить после проверки внесённых читателем данных сотрудником библиотеки и их электронного утверждения (дополнения).</w:t>
            </w:r>
          </w:p>
        </w:tc>
      </w:tr>
      <w:tr w:rsidR="0080474C" w:rsidRPr="00E406C1" w:rsidTr="00002C8D">
        <w:trPr>
          <w:trHeight w:val="3867"/>
        </w:trPr>
        <w:tc>
          <w:tcPr>
            <w:tcW w:w="1651" w:type="pct"/>
          </w:tcPr>
          <w:p w:rsidR="0080474C" w:rsidRPr="00E406C1" w:rsidRDefault="0080474C" w:rsidP="006F7C82">
            <w:pPr>
              <w:rPr>
                <w:rFonts w:ascii="Times New Roman" w:hAnsi="Times New Roman"/>
                <w:b/>
              </w:rPr>
            </w:pPr>
            <w:r w:rsidRPr="00E406C1">
              <w:rPr>
                <w:rFonts w:ascii="Times New Roman" w:hAnsi="Times New Roman"/>
                <w:b/>
              </w:rPr>
              <w:t xml:space="preserve">Расширенная информационно-техническая поддержка </w:t>
            </w:r>
          </w:p>
        </w:tc>
        <w:tc>
          <w:tcPr>
            <w:tcW w:w="3349" w:type="pct"/>
          </w:tcPr>
          <w:p w:rsidR="0080474C" w:rsidRPr="00504A51" w:rsidRDefault="0080474C" w:rsidP="006F7C82">
            <w:pPr>
              <w:spacing w:after="0" w:line="240" w:lineRule="auto"/>
              <w:ind w:firstLine="329"/>
              <w:jc w:val="both"/>
              <w:rPr>
                <w:rFonts w:ascii="Times New Roman" w:hAnsi="Times New Roman"/>
              </w:rPr>
            </w:pPr>
            <w:r w:rsidRPr="00504A51">
              <w:rPr>
                <w:rFonts w:ascii="Times New Roman" w:hAnsi="Times New Roman"/>
              </w:rPr>
              <w:t>Предоставляется в объёме 30 часов*, включает в себя:</w:t>
            </w:r>
          </w:p>
          <w:p w:rsidR="0080474C" w:rsidRPr="00504A51" w:rsidRDefault="0080474C" w:rsidP="0080474C">
            <w:pPr>
              <w:pStyle w:val="a7"/>
              <w:numPr>
                <w:ilvl w:val="0"/>
                <w:numId w:val="20"/>
              </w:numPr>
              <w:tabs>
                <w:tab w:val="left" w:pos="323"/>
              </w:tabs>
              <w:spacing w:after="0" w:line="240" w:lineRule="auto"/>
              <w:ind w:left="0" w:firstLine="329"/>
              <w:jc w:val="both"/>
              <w:rPr>
                <w:rFonts w:ascii="Times New Roman" w:hAnsi="Times New Roman"/>
              </w:rPr>
            </w:pPr>
            <w:r w:rsidRPr="00504A51">
              <w:rPr>
                <w:rFonts w:ascii="Times New Roman" w:hAnsi="Times New Roman"/>
              </w:rPr>
              <w:t xml:space="preserve">Индивидуальное консультирование.  </w:t>
            </w:r>
          </w:p>
          <w:p w:rsidR="0080474C" w:rsidRPr="00504A51" w:rsidRDefault="0080474C" w:rsidP="0080474C">
            <w:pPr>
              <w:pStyle w:val="a7"/>
              <w:numPr>
                <w:ilvl w:val="0"/>
                <w:numId w:val="20"/>
              </w:numPr>
              <w:tabs>
                <w:tab w:val="left" w:pos="323"/>
              </w:tabs>
              <w:spacing w:after="0" w:line="240" w:lineRule="auto"/>
              <w:ind w:left="0" w:firstLine="329"/>
              <w:jc w:val="both"/>
              <w:rPr>
                <w:rFonts w:ascii="Times New Roman" w:hAnsi="Times New Roman"/>
              </w:rPr>
            </w:pPr>
            <w:r w:rsidRPr="00504A51">
              <w:rPr>
                <w:rFonts w:ascii="Times New Roman" w:hAnsi="Times New Roman"/>
              </w:rPr>
              <w:t>Удаленная техническая помощь по вопросам, касающимся работы САБ ИРБИС 641. «Горячая линия» (консультирование и приём заявок на получение консультаций) в рабочие дни с 10-00 до 18-00. Удаленная техническая помощь осуществляется через средства удалённого доступа (подключение к рабочему столу пользователя).</w:t>
            </w:r>
          </w:p>
          <w:p w:rsidR="0080474C" w:rsidRPr="00504A51" w:rsidRDefault="0080474C" w:rsidP="0080474C">
            <w:pPr>
              <w:pStyle w:val="a7"/>
              <w:numPr>
                <w:ilvl w:val="0"/>
                <w:numId w:val="20"/>
              </w:numPr>
              <w:tabs>
                <w:tab w:val="left" w:pos="323"/>
              </w:tabs>
              <w:spacing w:after="0" w:line="240" w:lineRule="auto"/>
              <w:ind w:left="0" w:firstLine="329"/>
              <w:jc w:val="both"/>
              <w:rPr>
                <w:rFonts w:ascii="Times New Roman" w:hAnsi="Times New Roman"/>
              </w:rPr>
            </w:pPr>
            <w:r w:rsidRPr="00504A51">
              <w:rPr>
                <w:rFonts w:ascii="Times New Roman" w:hAnsi="Times New Roman"/>
              </w:rPr>
              <w:t>Очная техническая поддержка и консультирование на территории Заказчика с выездом сотрудника Исполнителя. Минимальные временные затраты каждого из сотрудников Исполнителя при оказании очной технической поддержке рассматриваются как 4 часа расширенной информационно-технической поддержки (1 час нахождения на территории, 3 часа нахождения в пути на территорию Заказчика и обратно на территорию Исполнителя). Дальнейшие временные затраты (свыше 1 часа нахождения на территории Заказчика) учитываются по фактическому времени нахождения на территории Заказчика.</w:t>
            </w:r>
          </w:p>
          <w:p w:rsidR="0080474C" w:rsidRPr="00504A51" w:rsidRDefault="0080474C" w:rsidP="006F7C82">
            <w:pPr>
              <w:spacing w:after="0" w:line="240" w:lineRule="auto"/>
              <w:ind w:firstLine="329"/>
              <w:jc w:val="both"/>
              <w:rPr>
                <w:rFonts w:ascii="Times New Roman" w:hAnsi="Times New Roman"/>
              </w:rPr>
            </w:pPr>
          </w:p>
          <w:p w:rsidR="0080474C" w:rsidRPr="00504A51" w:rsidRDefault="0080474C" w:rsidP="006F7C82">
            <w:pPr>
              <w:spacing w:after="0" w:line="240" w:lineRule="auto"/>
              <w:ind w:firstLine="327"/>
              <w:jc w:val="both"/>
              <w:rPr>
                <w:rFonts w:ascii="Times New Roman" w:hAnsi="Times New Roman" w:cs="Times New Roman"/>
              </w:rPr>
            </w:pPr>
            <w:r w:rsidRPr="00504A51">
              <w:rPr>
                <w:rFonts w:ascii="Times New Roman" w:hAnsi="Times New Roman"/>
              </w:rPr>
              <w:t>*Учёт отработанных часов ведётся в электронном документе, который формируется Исполнителем и постоянно доступен Заказчику по ссылке в сети Интернет. Ссылка на документ предоставляется Заказчику после начала фактического оказания услуг, документ обновляется по факту оказания услуг.</w:t>
            </w:r>
          </w:p>
        </w:tc>
      </w:tr>
      <w:tr w:rsidR="0080474C" w:rsidRPr="00E406C1" w:rsidTr="00002C8D">
        <w:trPr>
          <w:trHeight w:val="552"/>
        </w:trPr>
        <w:tc>
          <w:tcPr>
            <w:tcW w:w="1651" w:type="pct"/>
          </w:tcPr>
          <w:p w:rsidR="0080474C" w:rsidRPr="00E406C1" w:rsidRDefault="0080474C" w:rsidP="006F7C82">
            <w:pPr>
              <w:rPr>
                <w:rFonts w:ascii="Times New Roman" w:hAnsi="Times New Roman"/>
                <w:b/>
              </w:rPr>
            </w:pPr>
            <w:r w:rsidRPr="00E406C1">
              <w:rPr>
                <w:rFonts w:ascii="Times New Roman" w:hAnsi="Times New Roman"/>
                <w:b/>
              </w:rPr>
              <w:t>Требования к Исполнителю</w:t>
            </w:r>
          </w:p>
        </w:tc>
        <w:tc>
          <w:tcPr>
            <w:tcW w:w="3349" w:type="pct"/>
          </w:tcPr>
          <w:p w:rsidR="0080474C" w:rsidRPr="00504A51" w:rsidRDefault="0080474C" w:rsidP="006F7C82">
            <w:pPr>
              <w:pStyle w:val="a7"/>
              <w:widowControl w:val="0"/>
              <w:autoSpaceDE w:val="0"/>
              <w:autoSpaceDN w:val="0"/>
              <w:adjustRightInd w:val="0"/>
              <w:spacing w:after="0" w:line="240" w:lineRule="auto"/>
              <w:ind w:left="34" w:firstLine="284"/>
              <w:jc w:val="both"/>
              <w:rPr>
                <w:rFonts w:ascii="Times New Roman" w:hAnsi="Times New Roman"/>
              </w:rPr>
            </w:pPr>
            <w:r w:rsidRPr="00504A51">
              <w:rPr>
                <w:rFonts w:ascii="Times New Roman" w:hAnsi="Times New Roman"/>
              </w:rPr>
              <w:t>Исполнитель обязан являться Правообладателем САБ ИРБИС 64 или официальным представителем Правообладателя САБ ИРБИС 64.</w:t>
            </w:r>
          </w:p>
          <w:p w:rsidR="0080474C" w:rsidRPr="00504A51" w:rsidRDefault="0080474C" w:rsidP="006F7C82">
            <w:pPr>
              <w:pStyle w:val="a7"/>
              <w:widowControl w:val="0"/>
              <w:autoSpaceDE w:val="0"/>
              <w:autoSpaceDN w:val="0"/>
              <w:adjustRightInd w:val="0"/>
              <w:spacing w:after="0" w:line="240" w:lineRule="auto"/>
              <w:ind w:left="34" w:firstLine="284"/>
              <w:jc w:val="both"/>
              <w:rPr>
                <w:rFonts w:ascii="Times New Roman" w:hAnsi="Times New Roman" w:cs="Times New Roman"/>
              </w:rPr>
            </w:pPr>
            <w:r w:rsidRPr="00504A51">
              <w:rPr>
                <w:rFonts w:ascii="Times New Roman" w:hAnsi="Times New Roman"/>
              </w:rPr>
              <w:t xml:space="preserve">В течение трёх календарных дней с момента заключения Контракта Исполнитель обязан предоставить документ (электронный образ на эл. почту </w:t>
            </w:r>
            <w:r w:rsidRPr="00504A51">
              <w:rPr>
                <w:rFonts w:ascii="Times New Roman" w:hAnsi="Times New Roman"/>
                <w:lang w:val="en-US"/>
              </w:rPr>
              <w:t>it</w:t>
            </w:r>
            <w:r w:rsidRPr="00504A51">
              <w:rPr>
                <w:rFonts w:ascii="Times New Roman" w:hAnsi="Times New Roman"/>
              </w:rPr>
              <w:t>@</w:t>
            </w:r>
            <w:r w:rsidRPr="00504A51">
              <w:rPr>
                <w:rFonts w:ascii="Times New Roman" w:hAnsi="Times New Roman"/>
                <w:lang w:val="en-US"/>
              </w:rPr>
              <w:t>niioncologii</w:t>
            </w:r>
            <w:r w:rsidRPr="00504A51">
              <w:rPr>
                <w:rFonts w:ascii="Times New Roman" w:hAnsi="Times New Roman"/>
              </w:rPr>
              <w:t>.</w:t>
            </w:r>
            <w:r w:rsidRPr="00504A51">
              <w:rPr>
                <w:rFonts w:ascii="Times New Roman" w:hAnsi="Times New Roman"/>
                <w:lang w:val="en-US"/>
              </w:rPr>
              <w:t>ru</w:t>
            </w:r>
            <w:r w:rsidRPr="00504A51">
              <w:rPr>
                <w:rFonts w:ascii="Times New Roman" w:hAnsi="Times New Roman"/>
              </w:rPr>
              <w:t>), подтверждающий что он является правообладателем САБ ИРБИС 64 или официальным представителем правообладателя  САБ ИРБИС 64.</w:t>
            </w:r>
          </w:p>
        </w:tc>
      </w:tr>
    </w:tbl>
    <w:p w:rsidR="0080474C" w:rsidRPr="00D1032D" w:rsidRDefault="0080474C" w:rsidP="0080474C">
      <w:pPr>
        <w:widowControl w:val="0"/>
        <w:spacing w:after="0"/>
        <w:rPr>
          <w:rFonts w:ascii="Times New Roman" w:eastAsia="Courier New" w:hAnsi="Times New Roman" w:cs="Times New Roman"/>
          <w:b/>
        </w:rPr>
      </w:pPr>
    </w:p>
    <w:sectPr w:rsidR="0080474C" w:rsidRPr="00D1032D" w:rsidSect="00002C8D">
      <w:pgSz w:w="16838" w:h="11906" w:orient="landscape"/>
      <w:pgMar w:top="709" w:right="567" w:bottom="709" w:left="539"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68" w:rsidRDefault="00B84168">
      <w:pPr>
        <w:spacing w:after="0" w:line="240" w:lineRule="auto"/>
      </w:pPr>
      <w:r>
        <w:separator/>
      </w:r>
    </w:p>
  </w:endnote>
  <w:endnote w:type="continuationSeparator" w:id="0">
    <w:p w:rsidR="00B84168" w:rsidRDefault="00B8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5400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5400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5400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Pr>
            <w:noProof/>
          </w:rPr>
          <w:t>2</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68" w:rsidRDefault="00B84168">
      <w:pPr>
        <w:spacing w:after="0" w:line="240" w:lineRule="auto"/>
      </w:pPr>
      <w:r>
        <w:separator/>
      </w:r>
    </w:p>
  </w:footnote>
  <w:footnote w:type="continuationSeparator" w:id="0">
    <w:p w:rsidR="00B84168" w:rsidRDefault="00B8416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E6B83" w:rsidRDefault="00EE6B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015162" w:rsidRDefault="0001516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DC254BB"/>
    <w:multiLevelType w:val="hybridMultilevel"/>
    <w:tmpl w:val="FBC2FBDE"/>
    <w:lvl w:ilvl="0" w:tplc="9B4679FA">
      <w:start w:val="1"/>
      <w:numFmt w:val="decimal"/>
      <w:suff w:val="space"/>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7">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7"/>
  </w:num>
  <w:num w:numId="19">
    <w:abstractNumId w:val="15"/>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2C8D"/>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20C6C"/>
    <w:rsid w:val="00421825"/>
    <w:rsid w:val="004329AE"/>
    <w:rsid w:val="00434120"/>
    <w:rsid w:val="00435167"/>
    <w:rsid w:val="0043583F"/>
    <w:rsid w:val="00441301"/>
    <w:rsid w:val="00450FFE"/>
    <w:rsid w:val="004536CC"/>
    <w:rsid w:val="00461AE7"/>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474C"/>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3D79"/>
    <w:rsid w:val="00B24019"/>
    <w:rsid w:val="00B33706"/>
    <w:rsid w:val="00B54004"/>
    <w:rsid w:val="00B61169"/>
    <w:rsid w:val="00B664DC"/>
    <w:rsid w:val="00B666D7"/>
    <w:rsid w:val="00B66D35"/>
    <w:rsid w:val="00B67E6D"/>
    <w:rsid w:val="00B77DAE"/>
    <w:rsid w:val="00B84168"/>
    <w:rsid w:val="00B8743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4875"/>
    <w:rsid w:val="00D17764"/>
    <w:rsid w:val="00D3148D"/>
    <w:rsid w:val="00D31887"/>
    <w:rsid w:val="00D3448D"/>
    <w:rsid w:val="00D4075D"/>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549C"/>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99"/>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99"/>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99"/>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99"/>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308BE-5DB7-45B4-95D6-2F36D721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2020-02-10T09:30:00Z</dcterms:created>
  <dcterms:modified xsi:type="dcterms:W3CDTF">2020-02-10T09:30:00Z</dcterms:modified>
</cp:coreProperties>
</file>