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21.1-03/968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87F0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24D6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научной лаборатории химиопрофилактики рака и онкофармакологии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24D6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4692" w:type="dxa"/>
          </w:tcPr>
          <w:p w:rsidR="00C14573" w:rsidRDefault="00C14573" w:rsidP="00124D62">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ПП РФ от 23.12.2024 № 1875 – запрет (реестровая запись)</w:t>
            </w:r>
            <w:r w:rsidRPr="00C15FD9">
              <w:rPr>
                <w:rFonts w:ascii="Times New Roman" w:hAnsi="Times New Roman" w:cs="Times New Roman"/>
                <w:noProof/>
                <w:sz w:val="24"/>
                <w:szCs w:val="24"/>
              </w:rPr>
              <w:lastRenderedPageBreak/>
              <w:t>(реестровая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1826"/>
        <w:gridCol w:w="1009"/>
        <w:gridCol w:w="1277"/>
        <w:gridCol w:w="1701"/>
        <w:gridCol w:w="1274"/>
        <w:gridCol w:w="1560"/>
        <w:gridCol w:w="1843"/>
        <w:gridCol w:w="994"/>
        <w:gridCol w:w="849"/>
        <w:gridCol w:w="711"/>
        <w:gridCol w:w="569"/>
        <w:gridCol w:w="708"/>
        <w:gridCol w:w="637"/>
      </w:tblGrid>
      <w:tr w:rsidR="00124D62" w:rsidRPr="00124D62" w:rsidTr="00124D62">
        <w:tc>
          <w:tcPr>
            <w:tcW w:w="138" w:type="pct"/>
            <w:vMerge w:val="restart"/>
          </w:tcPr>
          <w:p w:rsid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p>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 п/п</w:t>
            </w:r>
          </w:p>
        </w:tc>
        <w:tc>
          <w:tcPr>
            <w:tcW w:w="594" w:type="pct"/>
            <w:vMerge w:val="restar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Наименование товара, работы, услуги</w:t>
            </w:r>
          </w:p>
        </w:tc>
        <w:tc>
          <w:tcPr>
            <w:tcW w:w="328" w:type="pct"/>
            <w:vMerge w:val="restar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Код позиции</w:t>
            </w:r>
          </w:p>
        </w:tc>
        <w:tc>
          <w:tcPr>
            <w:tcW w:w="2488" w:type="pct"/>
            <w:gridSpan w:val="5"/>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Характеристики товара, работы, услуги</w:t>
            </w:r>
          </w:p>
        </w:tc>
        <w:tc>
          <w:tcPr>
            <w:tcW w:w="323" w:type="pc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Количество</w:t>
            </w:r>
          </w:p>
        </w:tc>
        <w:tc>
          <w:tcPr>
            <w:tcW w:w="276" w:type="pc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Единица измерения</w:t>
            </w:r>
          </w:p>
        </w:tc>
        <w:tc>
          <w:tcPr>
            <w:tcW w:w="231" w:type="pct"/>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Страна</w:t>
            </w:r>
          </w:p>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происхождения</w:t>
            </w:r>
          </w:p>
        </w:tc>
        <w:tc>
          <w:tcPr>
            <w:tcW w:w="185" w:type="pct"/>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НДС%</w:t>
            </w:r>
          </w:p>
        </w:tc>
        <w:tc>
          <w:tcPr>
            <w:tcW w:w="230" w:type="pc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Цена за единицу без НДС</w:t>
            </w:r>
          </w:p>
        </w:tc>
        <w:tc>
          <w:tcPr>
            <w:tcW w:w="207" w:type="pct"/>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Сумма без</w:t>
            </w:r>
            <w:r w:rsidRPr="00124D62">
              <w:rPr>
                <w:rFonts w:ascii="Times New Roman" w:eastAsia="Times New Roman" w:hAnsi="Times New Roman" w:cs="Times New Roman"/>
                <w:b/>
                <w:bCs/>
                <w:color w:val="000000"/>
                <w:sz w:val="14"/>
                <w:szCs w:val="14"/>
                <w:lang w:eastAsia="ru-RU"/>
              </w:rPr>
              <w:t xml:space="preserve"> НДС</w:t>
            </w: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594" w:type="pct"/>
            <w:vMerge/>
            <w:vAlign w:val="center"/>
            <w:hideMark/>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328" w:type="pct"/>
            <w:vMerge/>
            <w:tcBorders>
              <w:bottom w:val="single" w:sz="4" w:space="0" w:color="auto"/>
            </w:tcBorders>
            <w:vAlign w:val="center"/>
            <w:hideMark/>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415" w:type="pct"/>
            <w:tcBorders>
              <w:bottom w:val="single" w:sz="4" w:space="0" w:color="auto"/>
            </w:tcBorders>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Наименование характеристики</w:t>
            </w:r>
          </w:p>
        </w:tc>
        <w:tc>
          <w:tcPr>
            <w:tcW w:w="553" w:type="pct"/>
            <w:tcBorders>
              <w:bottom w:val="single" w:sz="4" w:space="0" w:color="auto"/>
            </w:tcBorders>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Значение характеристики</w:t>
            </w:r>
          </w:p>
        </w:tc>
        <w:tc>
          <w:tcPr>
            <w:tcW w:w="414" w:type="pct"/>
            <w:tcBorders>
              <w:bottom w:val="single" w:sz="4" w:space="0" w:color="auto"/>
            </w:tcBorders>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Единица измерения характеристики</w:t>
            </w:r>
          </w:p>
        </w:tc>
        <w:tc>
          <w:tcPr>
            <w:tcW w:w="507" w:type="pct"/>
            <w:tcBorders>
              <w:bottom w:val="single" w:sz="4" w:space="0" w:color="auto"/>
            </w:tcBorders>
            <w:tcMar>
              <w:top w:w="75" w:type="dxa"/>
              <w:left w:w="75" w:type="dxa"/>
              <w:bottom w:w="75" w:type="dxa"/>
              <w:right w:w="75" w:type="dxa"/>
            </w:tcMar>
            <w:vAlign w:val="center"/>
            <w:hideMark/>
          </w:tcPr>
          <w:p w:rsidR="00124D62" w:rsidRPr="00124D62" w:rsidRDefault="00124D62" w:rsidP="003B4B33">
            <w:pPr>
              <w:spacing w:after="0" w:line="240" w:lineRule="auto"/>
              <w:jc w:val="center"/>
              <w:rPr>
                <w:rFonts w:ascii="Times New Roman" w:eastAsia="Times New Roman" w:hAnsi="Times New Roman" w:cs="Times New Roman"/>
                <w:b/>
                <w:bCs/>
                <w:color w:val="000000"/>
                <w:sz w:val="14"/>
                <w:szCs w:val="14"/>
                <w:lang w:eastAsia="ru-RU"/>
              </w:rPr>
            </w:pPr>
            <w:r w:rsidRPr="00124D62">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599" w:type="pct"/>
          </w:tcPr>
          <w:p w:rsidR="00124D62" w:rsidRPr="00124D62" w:rsidRDefault="00124D62" w:rsidP="003B4B33">
            <w:pPr>
              <w:spacing w:after="0" w:line="240" w:lineRule="auto"/>
              <w:jc w:val="center"/>
              <w:rPr>
                <w:rFonts w:ascii="Times New Roman" w:eastAsia="Times New Roman" w:hAnsi="Times New Roman" w:cs="Times New Roman"/>
                <w:b/>
                <w:color w:val="000000"/>
                <w:sz w:val="14"/>
                <w:szCs w:val="14"/>
                <w:lang w:eastAsia="ru-RU"/>
              </w:rPr>
            </w:pPr>
            <w:r w:rsidRPr="00124D62">
              <w:rPr>
                <w:rFonts w:ascii="Times New Roman" w:eastAsia="Times New Roman" w:hAnsi="Times New Roman" w:cs="Times New Roman"/>
                <w:b/>
                <w:color w:val="000000"/>
                <w:sz w:val="14"/>
                <w:szCs w:val="14"/>
                <w:lang w:eastAsia="ru-RU"/>
              </w:rPr>
              <w:t>Обоснование дополнительных характеристик</w:t>
            </w:r>
          </w:p>
        </w:tc>
        <w:tc>
          <w:tcPr>
            <w:tcW w:w="323" w:type="pct"/>
            <w:vMerge w:val="restart"/>
            <w:vAlign w:val="center"/>
          </w:tcPr>
          <w:p w:rsid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1500</w:t>
            </w: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tc>
        <w:tc>
          <w:tcPr>
            <w:tcW w:w="276" w:type="pct"/>
            <w:vMerge w:val="restart"/>
            <w:vAlign w:val="center"/>
          </w:tcPr>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w:t>
            </w:r>
            <w:r w:rsidRPr="00124D62">
              <w:rPr>
                <w:rFonts w:ascii="Times New Roman" w:eastAsia="Times New Roman" w:hAnsi="Times New Roman" w:cs="Times New Roman"/>
                <w:color w:val="000000"/>
                <w:sz w:val="14"/>
                <w:szCs w:val="14"/>
                <w:lang w:eastAsia="ru-RU"/>
              </w:rPr>
              <w:t>т</w:t>
            </w: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tc>
        <w:tc>
          <w:tcPr>
            <w:tcW w:w="231" w:type="pct"/>
            <w:vMerge w:val="restart"/>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185" w:type="pct"/>
            <w:vMerge w:val="restart"/>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230" w:type="pct"/>
            <w:vMerge w:val="restart"/>
            <w:vAlign w:val="center"/>
            <w:hideMark/>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c>
          <w:tcPr>
            <w:tcW w:w="207" w:type="pct"/>
            <w:vMerge w:val="restart"/>
            <w:vAlign w:val="center"/>
            <w:hideMark/>
          </w:tcPr>
          <w:p w:rsidR="00124D62" w:rsidRPr="00124D62" w:rsidRDefault="00124D62" w:rsidP="003B4B33">
            <w:pPr>
              <w:spacing w:after="0" w:line="240" w:lineRule="auto"/>
              <w:rPr>
                <w:rFonts w:ascii="Times New Roman" w:eastAsia="Times New Roman" w:hAnsi="Times New Roman" w:cs="Times New Roman"/>
                <w:b/>
                <w:bCs/>
                <w:color w:val="000000"/>
                <w:sz w:val="14"/>
                <w:szCs w:val="14"/>
                <w:lang w:eastAsia="ru-RU"/>
              </w:rPr>
            </w:pPr>
          </w:p>
        </w:tc>
      </w:tr>
      <w:tr w:rsidR="00124D62" w:rsidRPr="00124D62" w:rsidTr="00124D62">
        <w:tc>
          <w:tcPr>
            <w:tcW w:w="138" w:type="pct"/>
            <w:vMerge w:val="restart"/>
          </w:tcPr>
          <w:p w:rsidR="00124D62" w:rsidRDefault="00124D62" w:rsidP="00124D62">
            <w:pPr>
              <w:pStyle w:val="af7"/>
              <w:jc w:val="center"/>
              <w:rPr>
                <w:rFonts w:ascii="Times New Roman" w:hAnsi="Times New Roman"/>
                <w:sz w:val="14"/>
                <w:szCs w:val="14"/>
              </w:rPr>
            </w:pPr>
          </w:p>
          <w:p w:rsidR="00124D62" w:rsidRPr="00124D62" w:rsidRDefault="00124D62" w:rsidP="00124D62">
            <w:pPr>
              <w:pStyle w:val="af7"/>
              <w:jc w:val="center"/>
              <w:rPr>
                <w:rFonts w:ascii="Times New Roman" w:hAnsi="Times New Roman"/>
                <w:sz w:val="14"/>
                <w:szCs w:val="14"/>
              </w:rPr>
            </w:pPr>
            <w:r>
              <w:rPr>
                <w:rFonts w:ascii="Times New Roman" w:hAnsi="Times New Roman"/>
                <w:sz w:val="14"/>
                <w:szCs w:val="14"/>
              </w:rPr>
              <w:t>1</w:t>
            </w:r>
          </w:p>
        </w:tc>
        <w:tc>
          <w:tcPr>
            <w:tcW w:w="594" w:type="pct"/>
            <w:vMerge w:val="restart"/>
            <w:tcMar>
              <w:top w:w="75" w:type="dxa"/>
              <w:left w:w="75" w:type="dxa"/>
              <w:bottom w:w="75" w:type="dxa"/>
              <w:right w:w="75" w:type="dxa"/>
            </w:tcMar>
            <w:vAlign w:val="center"/>
          </w:tcPr>
          <w:p w:rsidR="00124D62" w:rsidRDefault="00124D62" w:rsidP="00124D62">
            <w:pPr>
              <w:pStyle w:val="af7"/>
              <w:jc w:val="center"/>
              <w:rPr>
                <w:rFonts w:ascii="Times New Roman" w:hAnsi="Times New Roman"/>
                <w:sz w:val="14"/>
                <w:szCs w:val="14"/>
              </w:rPr>
            </w:pPr>
            <w:r w:rsidRPr="00124D62">
              <w:rPr>
                <w:rFonts w:ascii="Times New Roman" w:hAnsi="Times New Roman"/>
                <w:sz w:val="14"/>
                <w:szCs w:val="14"/>
              </w:rPr>
              <w:t>Пробирка вакуумная для взятия образцов крови ИВД, с активатором свертывания</w:t>
            </w: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Default="00124D62" w:rsidP="00124D62">
            <w:pPr>
              <w:pStyle w:val="af7"/>
              <w:jc w:val="center"/>
              <w:rPr>
                <w:rFonts w:ascii="Times New Roman" w:hAnsi="Times New Roman"/>
                <w:sz w:val="14"/>
                <w:szCs w:val="14"/>
              </w:rPr>
            </w:pPr>
          </w:p>
          <w:p w:rsidR="00124D62" w:rsidRPr="00124D62" w:rsidRDefault="00124D62" w:rsidP="00124D62">
            <w:pPr>
              <w:pStyle w:val="af7"/>
              <w:jc w:val="center"/>
              <w:rPr>
                <w:rFonts w:ascii="Times New Roman" w:hAnsi="Times New Roman"/>
                <w:sz w:val="14"/>
                <w:szCs w:val="14"/>
              </w:rPr>
            </w:pPr>
          </w:p>
        </w:tc>
        <w:tc>
          <w:tcPr>
            <w:tcW w:w="328" w:type="pct"/>
            <w:vMerge w:val="restart"/>
            <w:tcMar>
              <w:top w:w="75" w:type="dxa"/>
              <w:left w:w="75" w:type="dxa"/>
              <w:bottom w:w="75" w:type="dxa"/>
              <w:right w:w="75" w:type="dxa"/>
            </w:tcMar>
            <w:vAlign w:val="center"/>
          </w:tcPr>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eastAsia="Times New Roman" w:hAnsi="Times New Roman" w:cs="Times New Roman"/>
                <w:color w:val="000000"/>
                <w:sz w:val="14"/>
                <w:szCs w:val="14"/>
                <w:lang w:eastAsia="ru-RU"/>
              </w:rPr>
              <w:t>32.50.50.000-00001456</w:t>
            </w:r>
            <w:r>
              <w:rPr>
                <w:rFonts w:ascii="Times New Roman" w:eastAsia="Times New Roman" w:hAnsi="Times New Roman" w:cs="Times New Roman"/>
                <w:color w:val="000000"/>
                <w:sz w:val="14"/>
                <w:szCs w:val="14"/>
                <w:lang w:eastAsia="ru-RU"/>
              </w:rPr>
              <w:t>*</w:t>
            </w: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Pr>
                <w:rFonts w:ascii="Times New Roman" w:hAnsi="Times New Roman" w:cs="Times New Roman"/>
                <w:color w:val="000000"/>
                <w:sz w:val="14"/>
                <w:szCs w:val="14"/>
              </w:rPr>
              <w:t xml:space="preserve">  </w:t>
            </w:r>
            <w:r w:rsidRPr="00124D62">
              <w:rPr>
                <w:rFonts w:ascii="Times New Roman" w:hAnsi="Times New Roman" w:cs="Times New Roman"/>
                <w:color w:val="000000"/>
                <w:sz w:val="14"/>
                <w:szCs w:val="14"/>
              </w:rPr>
              <w:t>Высота</w:t>
            </w:r>
          </w:p>
        </w:tc>
        <w:tc>
          <w:tcPr>
            <w:tcW w:w="553" w:type="pct"/>
            <w:tcBorders>
              <w:top w:val="single" w:sz="4" w:space="0" w:color="auto"/>
              <w:left w:val="single" w:sz="4" w:space="0" w:color="auto"/>
              <w:bottom w:val="single" w:sz="4" w:space="0" w:color="auto"/>
              <w:right w:val="single" w:sz="4" w:space="0" w:color="auto"/>
            </w:tcBorders>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100</w:t>
            </w:r>
          </w:p>
        </w:tc>
        <w:tc>
          <w:tcPr>
            <w:tcW w:w="414" w:type="pct"/>
            <w:tcBorders>
              <w:top w:val="single" w:sz="4" w:space="0" w:color="auto"/>
              <w:left w:val="single" w:sz="4" w:space="0" w:color="auto"/>
              <w:bottom w:val="single" w:sz="4" w:space="0" w:color="auto"/>
              <w:right w:val="single" w:sz="4" w:space="0" w:color="auto"/>
            </w:tcBorders>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Миллиметр</w:t>
            </w:r>
          </w:p>
        </w:tc>
        <w:tc>
          <w:tcPr>
            <w:tcW w:w="507" w:type="pct"/>
            <w:tcBorders>
              <w:top w:val="single" w:sz="4" w:space="0" w:color="auto"/>
              <w:left w:val="nil"/>
              <w:bottom w:val="single" w:sz="4" w:space="0" w:color="auto"/>
              <w:right w:val="single" w:sz="4" w:space="0" w:color="auto"/>
            </w:tcBorders>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single" w:sz="4" w:space="0" w:color="auto"/>
              <w:left w:val="nil"/>
              <w:bottom w:val="single" w:sz="4" w:space="0" w:color="auto"/>
              <w:right w:val="single" w:sz="4" w:space="0" w:color="auto"/>
            </w:tcBorders>
            <w:shd w:val="clear" w:color="000000" w:fill="DDEBF7"/>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Согласно КТРУ</w:t>
            </w:r>
          </w:p>
        </w:tc>
        <w:tc>
          <w:tcPr>
            <w:tcW w:w="323" w:type="pct"/>
            <w:vMerge/>
            <w:tcBorders>
              <w:top w:val="single" w:sz="4" w:space="0" w:color="auto"/>
              <w:left w:val="single" w:sz="4" w:space="0" w:color="auto"/>
              <w:bottom w:val="single" w:sz="4" w:space="0" w:color="auto"/>
              <w:right w:val="single" w:sz="4" w:space="0" w:color="auto"/>
            </w:tcBorders>
            <w:shd w:val="clear" w:color="000000" w:fill="DDEBF7"/>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tc>
        <w:tc>
          <w:tcPr>
            <w:tcW w:w="276" w:type="pct"/>
            <w:vMerge/>
            <w:tcMar>
              <w:top w:w="75" w:type="dxa"/>
              <w:left w:w="75" w:type="dxa"/>
              <w:bottom w:w="75" w:type="dxa"/>
              <w:right w:w="75" w:type="dxa"/>
            </w:tcMar>
            <w:vAlign w:val="cente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tcMar>
              <w:top w:w="75" w:type="dxa"/>
              <w:left w:w="75" w:type="dxa"/>
              <w:bottom w:w="75" w:type="dxa"/>
              <w:right w:w="75" w:type="dxa"/>
            </w:tcMar>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tcMar>
              <w:top w:w="75" w:type="dxa"/>
              <w:left w:w="75" w:type="dxa"/>
              <w:bottom w:w="75" w:type="dxa"/>
              <w:right w:w="75" w:type="dxa"/>
            </w:tcMar>
            <w:vAlign w:val="cente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594" w:type="pct"/>
            <w:vMerge/>
            <w:tcMar>
              <w:top w:w="75" w:type="dxa"/>
              <w:left w:w="75" w:type="dxa"/>
              <w:bottom w:w="75" w:type="dxa"/>
              <w:right w:w="75" w:type="dxa"/>
            </w:tcMar>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tcMar>
              <w:top w:w="75" w:type="dxa"/>
              <w:left w:w="75" w:type="dxa"/>
              <w:bottom w:w="75" w:type="dxa"/>
              <w:right w:w="75" w:type="dxa"/>
            </w:tcMar>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r>
              <w:rPr>
                <w:rFonts w:ascii="Times New Roman" w:hAnsi="Times New Roman" w:cs="Times New Roman"/>
                <w:color w:val="000000"/>
                <w:sz w:val="14"/>
                <w:szCs w:val="14"/>
              </w:rPr>
              <w:t xml:space="preserve">  </w:t>
            </w:r>
            <w:r w:rsidRPr="00124D62">
              <w:rPr>
                <w:rFonts w:ascii="Times New Roman" w:hAnsi="Times New Roman" w:cs="Times New Roman"/>
                <w:color w:val="000000"/>
                <w:sz w:val="14"/>
                <w:szCs w:val="14"/>
              </w:rPr>
              <w:t>Диаметр</w:t>
            </w:r>
          </w:p>
        </w:tc>
        <w:tc>
          <w:tcPr>
            <w:tcW w:w="553" w:type="pct"/>
            <w:tcBorders>
              <w:top w:val="single" w:sz="4" w:space="0" w:color="auto"/>
              <w:left w:val="single" w:sz="4" w:space="0" w:color="auto"/>
              <w:bottom w:val="single" w:sz="4" w:space="0" w:color="auto"/>
              <w:right w:val="single" w:sz="4" w:space="0" w:color="auto"/>
            </w:tcBorders>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13</w:t>
            </w:r>
          </w:p>
        </w:tc>
        <w:tc>
          <w:tcPr>
            <w:tcW w:w="414" w:type="pct"/>
            <w:tcBorders>
              <w:top w:val="single" w:sz="4" w:space="0" w:color="auto"/>
              <w:left w:val="single" w:sz="4" w:space="0" w:color="auto"/>
              <w:bottom w:val="single" w:sz="4" w:space="0" w:color="auto"/>
              <w:right w:val="single" w:sz="4" w:space="0" w:color="auto"/>
            </w:tcBorders>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Миллиметр</w:t>
            </w:r>
          </w:p>
        </w:tc>
        <w:tc>
          <w:tcPr>
            <w:tcW w:w="507" w:type="pct"/>
            <w:tcBorders>
              <w:top w:val="single" w:sz="4" w:space="0" w:color="auto"/>
              <w:left w:val="nil"/>
              <w:bottom w:val="single" w:sz="4" w:space="0" w:color="auto"/>
              <w:right w:val="single" w:sz="4" w:space="0" w:color="auto"/>
            </w:tcBorders>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124D62" w:rsidRDefault="00124D62" w:rsidP="00124D62">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tcBorders>
              <w:top w:val="nil"/>
              <w:left w:val="single" w:sz="4" w:space="0" w:color="auto"/>
              <w:bottom w:val="single" w:sz="4" w:space="0" w:color="auto"/>
              <w:right w:val="single" w:sz="4" w:space="0" w:color="auto"/>
            </w:tcBorders>
            <w:shd w:val="clear" w:color="000000" w:fill="DDEBF7"/>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tc>
        <w:tc>
          <w:tcPr>
            <w:tcW w:w="276" w:type="pct"/>
            <w:vMerge/>
            <w:tcMar>
              <w:top w:w="75" w:type="dxa"/>
              <w:left w:w="75" w:type="dxa"/>
              <w:bottom w:w="75" w:type="dxa"/>
              <w:right w:w="75" w:type="dxa"/>
            </w:tcMar>
            <w:vAlign w:val="cente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0" w:type="pct"/>
            <w:vMerge/>
            <w:tcMar>
              <w:top w:w="75" w:type="dxa"/>
              <w:left w:w="75" w:type="dxa"/>
              <w:bottom w:w="75" w:type="dxa"/>
              <w:right w:w="75" w:type="dxa"/>
            </w:tcMar>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07" w:type="pct"/>
            <w:vMerge/>
            <w:tcMar>
              <w:top w:w="75" w:type="dxa"/>
              <w:left w:w="75" w:type="dxa"/>
              <w:bottom w:w="75" w:type="dxa"/>
              <w:right w:w="75" w:type="dxa"/>
            </w:tcMar>
            <w:vAlign w:val="cente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Количество в упаковке</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≤100</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Участник закупки указывает в заявке конкретное значение характеристики</w:t>
            </w:r>
          </w:p>
        </w:tc>
        <w:tc>
          <w:tcPr>
            <w:tcW w:w="599" w:type="pct"/>
            <w:tcBorders>
              <w:top w:val="nil"/>
              <w:left w:val="nil"/>
              <w:bottom w:val="single" w:sz="4" w:space="0" w:color="auto"/>
              <w:right w:val="single" w:sz="4" w:space="0" w:color="auto"/>
            </w:tcBorders>
            <w:shd w:val="clear" w:color="000000" w:fill="DDEBF7"/>
          </w:tcPr>
          <w:p w:rsidR="00124D62" w:rsidRDefault="00124D62" w:rsidP="00124D62">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tcBorders>
              <w:top w:val="nil"/>
              <w:left w:val="single" w:sz="4" w:space="0" w:color="auto"/>
              <w:bottom w:val="single" w:sz="4" w:space="0" w:color="auto"/>
              <w:right w:val="single" w:sz="4" w:space="0" w:color="auto"/>
            </w:tcBorders>
            <w:shd w:val="clear" w:color="000000" w:fill="DDEBF7"/>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Материал пробирки</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Пластик</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124D62" w:rsidRDefault="00124D62" w:rsidP="00124D62">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tcBorders>
              <w:top w:val="nil"/>
              <w:left w:val="single" w:sz="4" w:space="0" w:color="auto"/>
              <w:bottom w:val="single" w:sz="4" w:space="0" w:color="auto"/>
              <w:right w:val="single" w:sz="4" w:space="0" w:color="auto"/>
            </w:tcBorders>
            <w:shd w:val="clear" w:color="000000" w:fill="DDEBF7"/>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Объем</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6</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Кубический сантиметр;^миллилитр</w:t>
            </w:r>
          </w:p>
        </w:tc>
        <w:tc>
          <w:tcPr>
            <w:tcW w:w="507" w:type="pct"/>
            <w:tcBorders>
              <w:top w:val="single" w:sz="4" w:space="0" w:color="auto"/>
              <w:left w:val="nil"/>
              <w:bottom w:val="single" w:sz="4" w:space="0" w:color="auto"/>
              <w:right w:val="single" w:sz="4" w:space="0" w:color="auto"/>
            </w:tcBorders>
            <w:tcMar>
              <w:top w:w="75" w:type="dxa"/>
              <w:left w:w="75" w:type="dxa"/>
              <w:bottom w:w="75" w:type="dxa"/>
              <w:right w:w="75" w:type="dxa"/>
            </w:tcMar>
          </w:tcPr>
          <w:p w:rsidR="00124D62" w:rsidRPr="00124D62" w:rsidRDefault="00124D62" w:rsidP="00124D62">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124D62" w:rsidRDefault="00124D62" w:rsidP="00124D62">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tcBorders>
              <w:top w:val="nil"/>
              <w:left w:val="single" w:sz="4" w:space="0" w:color="auto"/>
              <w:bottom w:val="single" w:sz="4" w:space="0" w:color="auto"/>
              <w:right w:val="single" w:sz="4" w:space="0" w:color="auto"/>
            </w:tcBorders>
            <w:shd w:val="clear" w:color="000000" w:fill="DDEBF7"/>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124D62">
            <w:pPr>
              <w:spacing w:after="0" w:line="240" w:lineRule="auto"/>
              <w:rPr>
                <w:rFonts w:ascii="Times New Roman" w:eastAsia="Times New Roman" w:hAnsi="Times New Roman" w:cs="Times New Roman"/>
                <w:color w:val="000000"/>
                <w:sz w:val="14"/>
                <w:szCs w:val="14"/>
                <w:lang w:eastAsia="ru-RU"/>
              </w:rPr>
            </w:pPr>
          </w:p>
        </w:tc>
      </w:tr>
      <w:tr w:rsidR="00FB498C" w:rsidRPr="00124D62" w:rsidTr="00B41723">
        <w:tc>
          <w:tcPr>
            <w:tcW w:w="138"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bottom w:val="single" w:sz="4" w:space="0" w:color="auto"/>
            </w:tcBorders>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415"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Тип крышки</w:t>
            </w:r>
          </w:p>
        </w:tc>
        <w:tc>
          <w:tcPr>
            <w:tcW w:w="5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FB498C" w:rsidRPr="00124D62" w:rsidRDefault="00FB498C"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Полнозаходная винтовая резьба</w:t>
            </w:r>
          </w:p>
        </w:tc>
        <w:tc>
          <w:tcPr>
            <w:tcW w:w="414"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B498C" w:rsidRPr="00124D62" w:rsidRDefault="00FB498C"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FB498C"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Участник закупки указывает в заявке толь</w:t>
            </w:r>
            <w:r>
              <w:rPr>
                <w:rFonts w:ascii="Times New Roman" w:hAnsi="Times New Roman" w:cs="Times New Roman"/>
                <w:color w:val="000000"/>
                <w:sz w:val="14"/>
                <w:szCs w:val="14"/>
              </w:rPr>
              <w:t>ко одно значение характеристики</w:t>
            </w:r>
            <w:r w:rsidRPr="00124D62">
              <w:rPr>
                <w:rFonts w:ascii="Times New Roman" w:hAnsi="Times New Roman" w:cs="Times New Roman"/>
                <w:sz w:val="14"/>
                <w:szCs w:val="14"/>
              </w:rPr>
              <w:t xml:space="preserve"> </w:t>
            </w:r>
          </w:p>
        </w:tc>
        <w:tc>
          <w:tcPr>
            <w:tcW w:w="599" w:type="pct"/>
            <w:vMerge w:val="restart"/>
            <w:tcBorders>
              <w:top w:val="nil"/>
              <w:left w:val="single" w:sz="4" w:space="0" w:color="auto"/>
              <w:right w:val="single" w:sz="4" w:space="0" w:color="auto"/>
            </w:tcBorders>
            <w:shd w:val="clear" w:color="000000" w:fill="FFFFFF"/>
          </w:tcPr>
          <w:p w:rsidR="00FB498C"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23" w:type="pct"/>
            <w:vMerge/>
            <w:tcBorders>
              <w:top w:val="nil"/>
              <w:left w:val="single" w:sz="4" w:space="0" w:color="auto"/>
              <w:bottom w:val="single" w:sz="4" w:space="0" w:color="000000"/>
              <w:right w:val="single" w:sz="4" w:space="0" w:color="auto"/>
            </w:tcBorders>
            <w:shd w:val="clear" w:color="000000" w:fill="FFFFFF"/>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r>
      <w:tr w:rsidR="00FB498C" w:rsidRPr="00124D62" w:rsidTr="00B41723">
        <w:tc>
          <w:tcPr>
            <w:tcW w:w="138"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bottom w:val="single" w:sz="4" w:space="0" w:color="auto"/>
            </w:tcBorders>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415"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5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FB498C" w:rsidRPr="00124D62" w:rsidRDefault="00FB498C" w:rsidP="003D2D0B">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xml:space="preserve">Двухступенчатая система снятия крышки, реализованная за счет наличия выступов по периметру на </w:t>
            </w:r>
            <w:r w:rsidR="003D2D0B">
              <w:rPr>
                <w:rFonts w:ascii="Times New Roman" w:hAnsi="Times New Roman" w:cs="Times New Roman"/>
                <w:color w:val="000000"/>
                <w:sz w:val="14"/>
                <w:szCs w:val="14"/>
              </w:rPr>
              <w:t>внутренней</w:t>
            </w:r>
            <w:r w:rsidRPr="00124D62">
              <w:rPr>
                <w:rFonts w:ascii="Times New Roman" w:hAnsi="Times New Roman" w:cs="Times New Roman"/>
                <w:color w:val="000000"/>
                <w:sz w:val="14"/>
                <w:szCs w:val="14"/>
              </w:rPr>
              <w:t xml:space="preserve"> и внешней поверхности пробирки, а также на внутренней поверхности крышки</w:t>
            </w:r>
          </w:p>
        </w:tc>
        <w:tc>
          <w:tcPr>
            <w:tcW w:w="414"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B498C" w:rsidRPr="00124D62" w:rsidRDefault="00FB498C" w:rsidP="003B4B33">
            <w:pPr>
              <w:spacing w:after="0" w:line="240" w:lineRule="auto"/>
              <w:jc w:val="center"/>
              <w:rPr>
                <w:rFonts w:ascii="Times New Roman" w:eastAsia="Times New Roman" w:hAnsi="Times New Roman" w:cs="Times New Roman"/>
                <w:color w:val="000000"/>
                <w:sz w:val="14"/>
                <w:szCs w:val="14"/>
                <w:lang w:eastAsia="ru-RU"/>
              </w:rPr>
            </w:pPr>
          </w:p>
        </w:tc>
        <w:tc>
          <w:tcPr>
            <w:tcW w:w="507"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FB498C" w:rsidRPr="00124D62" w:rsidRDefault="00FB498C" w:rsidP="003B4B33">
            <w:pPr>
              <w:spacing w:after="0" w:line="240" w:lineRule="auto"/>
              <w:jc w:val="center"/>
              <w:rPr>
                <w:rFonts w:ascii="Times New Roman" w:eastAsia="Times New Roman" w:hAnsi="Times New Roman" w:cs="Times New Roman"/>
                <w:color w:val="000000"/>
                <w:sz w:val="14"/>
                <w:szCs w:val="14"/>
                <w:lang w:eastAsia="ru-RU"/>
              </w:rPr>
            </w:pPr>
          </w:p>
        </w:tc>
        <w:tc>
          <w:tcPr>
            <w:tcW w:w="599" w:type="pct"/>
            <w:vMerge/>
            <w:tcBorders>
              <w:left w:val="single" w:sz="4" w:space="0" w:color="auto"/>
              <w:bottom w:val="single" w:sz="4" w:space="0" w:color="000000"/>
              <w:right w:val="single" w:sz="4" w:space="0" w:color="auto"/>
            </w:tcBorders>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323" w:type="pct"/>
            <w:vMerge/>
            <w:tcBorders>
              <w:top w:val="nil"/>
              <w:left w:val="single" w:sz="4" w:space="0" w:color="auto"/>
              <w:bottom w:val="single" w:sz="4" w:space="0" w:color="000000"/>
              <w:right w:val="single" w:sz="4" w:space="0" w:color="auto"/>
            </w:tcBorders>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FB498C" w:rsidRPr="00124D62" w:rsidRDefault="00FB498C" w:rsidP="003B4B33">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Особенности исполнения крышки пробирки (пробки)</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Полностью открытый верх стоппера (пробки)</w:t>
            </w:r>
          </w:p>
        </w:tc>
        <w:tc>
          <w:tcPr>
            <w:tcW w:w="41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sidR="00FB498C">
              <w:rPr>
                <w:rFonts w:ascii="Times New Roman" w:hAnsi="Times New Roman" w:cs="Times New Roman"/>
                <w:color w:val="000000"/>
                <w:sz w:val="14"/>
                <w:szCs w:val="14"/>
              </w:rPr>
              <w:t>т изменяться участником закупки</w:t>
            </w:r>
          </w:p>
        </w:tc>
        <w:tc>
          <w:tcPr>
            <w:tcW w:w="599" w:type="pct"/>
            <w:tcBorders>
              <w:top w:val="nil"/>
              <w:left w:val="nil"/>
              <w:bottom w:val="single" w:sz="4" w:space="0" w:color="auto"/>
              <w:right w:val="single" w:sz="4" w:space="0" w:color="auto"/>
            </w:tcBorders>
            <w:shd w:val="clear" w:color="000000" w:fill="FFFFFF"/>
          </w:tcPr>
          <w:p w:rsidR="00124D62"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FB498C">
              <w:rPr>
                <w:rFonts w:ascii="Times New Roman" w:eastAsia="Times New Roman" w:hAnsi="Times New Roman" w:cs="Times New Roman"/>
                <w:color w:val="000000"/>
                <w:sz w:val="14"/>
                <w:szCs w:val="14"/>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23" w:type="pct"/>
            <w:vMerge/>
            <w:tcBorders>
              <w:top w:val="nil"/>
              <w:left w:val="single" w:sz="4" w:space="0" w:color="auto"/>
              <w:bottom w:val="single" w:sz="4" w:space="0" w:color="auto"/>
              <w:right w:val="single" w:sz="4" w:space="0" w:color="auto"/>
            </w:tcBorders>
            <w:shd w:val="clear" w:color="000000" w:fill="FFFFFF"/>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Цветовой код крышки</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Красный</w:t>
            </w:r>
          </w:p>
        </w:tc>
        <w:tc>
          <w:tcPr>
            <w:tcW w:w="41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sidR="00FB498C">
              <w:rPr>
                <w:rFonts w:ascii="Times New Roman" w:hAnsi="Times New Roman" w:cs="Times New Roman"/>
                <w:color w:val="000000"/>
                <w:sz w:val="14"/>
                <w:szCs w:val="14"/>
              </w:rPr>
              <w:t>т изменяться участником закупки</w:t>
            </w:r>
          </w:p>
        </w:tc>
        <w:tc>
          <w:tcPr>
            <w:tcW w:w="599" w:type="pct"/>
            <w:tcBorders>
              <w:top w:val="nil"/>
              <w:left w:val="nil"/>
              <w:bottom w:val="single" w:sz="4" w:space="0" w:color="auto"/>
              <w:right w:val="single" w:sz="4" w:space="0" w:color="auto"/>
            </w:tcBorders>
            <w:shd w:val="clear" w:color="000000" w:fill="FFFFFF"/>
          </w:tcPr>
          <w:p w:rsidR="00124D62"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FB498C">
              <w:rPr>
                <w:rFonts w:ascii="Times New Roman" w:eastAsia="Times New Roman" w:hAnsi="Times New Roman" w:cs="Times New Roman"/>
                <w:color w:val="000000"/>
                <w:sz w:val="14"/>
                <w:szCs w:val="14"/>
                <w:lang w:eastAsia="ru-RU"/>
              </w:rPr>
              <w:t>Быстрая и точная идентификация проб, соответствует ГОСТ Р ИСО 6710-2021.</w:t>
            </w:r>
          </w:p>
        </w:tc>
        <w:tc>
          <w:tcPr>
            <w:tcW w:w="323" w:type="pct"/>
            <w:vMerge/>
            <w:tcBorders>
              <w:top w:val="nil"/>
              <w:left w:val="single" w:sz="4" w:space="0" w:color="auto"/>
              <w:bottom w:val="single" w:sz="4" w:space="0" w:color="auto"/>
              <w:right w:val="single" w:sz="4" w:space="0" w:color="auto"/>
            </w:tcBorders>
            <w:shd w:val="clear" w:color="000000" w:fill="FFFFFF"/>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Допустимое отклонение от номинального объема пробы ±10 %</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Соответствие</w:t>
            </w:r>
          </w:p>
        </w:tc>
        <w:tc>
          <w:tcPr>
            <w:tcW w:w="41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sidR="00FB498C">
              <w:rPr>
                <w:rFonts w:ascii="Times New Roman" w:hAnsi="Times New Roman" w:cs="Times New Roman"/>
                <w:color w:val="000000"/>
                <w:sz w:val="14"/>
                <w:szCs w:val="14"/>
              </w:rPr>
              <w:t>т изменяться участником закупки</w:t>
            </w:r>
          </w:p>
        </w:tc>
        <w:tc>
          <w:tcPr>
            <w:tcW w:w="599" w:type="pct"/>
            <w:tcBorders>
              <w:top w:val="nil"/>
              <w:left w:val="nil"/>
              <w:bottom w:val="single" w:sz="4" w:space="0" w:color="auto"/>
              <w:right w:val="single" w:sz="4" w:space="0" w:color="auto"/>
            </w:tcBorders>
            <w:shd w:val="clear" w:color="000000" w:fill="FFFFFF"/>
          </w:tcPr>
          <w:p w:rsidR="00124D62"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FB498C">
              <w:rPr>
                <w:rFonts w:ascii="Times New Roman" w:eastAsia="Times New Roman" w:hAnsi="Times New Roman" w:cs="Times New Roman"/>
                <w:color w:val="000000"/>
                <w:sz w:val="14"/>
                <w:szCs w:val="14"/>
                <w:lang w:eastAsia="ru-RU"/>
              </w:rPr>
              <w:t>В соответствии с ГОСТ Р ИСО 6710-2021.</w:t>
            </w:r>
          </w:p>
        </w:tc>
        <w:tc>
          <w:tcPr>
            <w:tcW w:w="323" w:type="pct"/>
            <w:vMerge/>
            <w:tcBorders>
              <w:top w:val="nil"/>
              <w:left w:val="single" w:sz="4" w:space="0" w:color="auto"/>
              <w:bottom w:val="single" w:sz="4" w:space="0" w:color="auto"/>
              <w:right w:val="single" w:sz="4" w:space="0" w:color="auto"/>
            </w:tcBorders>
            <w:shd w:val="clear" w:color="000000" w:fill="FFFFFF"/>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Этикетка с русифицированными полями для внесения данных</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Наличие</w:t>
            </w:r>
          </w:p>
        </w:tc>
        <w:tc>
          <w:tcPr>
            <w:tcW w:w="41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sidR="00FB498C">
              <w:rPr>
                <w:rFonts w:ascii="Times New Roman" w:hAnsi="Times New Roman" w:cs="Times New Roman"/>
                <w:color w:val="000000"/>
                <w:sz w:val="14"/>
                <w:szCs w:val="14"/>
              </w:rPr>
              <w:t>т изменяться участником закупки</w:t>
            </w:r>
            <w:r w:rsidRPr="00124D62">
              <w:rPr>
                <w:rFonts w:ascii="Times New Roman" w:hAnsi="Times New Roman" w:cs="Times New Roman"/>
                <w:sz w:val="14"/>
                <w:szCs w:val="14"/>
              </w:rPr>
              <w:t xml:space="preserve"> </w:t>
            </w:r>
          </w:p>
        </w:tc>
        <w:tc>
          <w:tcPr>
            <w:tcW w:w="599" w:type="pct"/>
            <w:tcBorders>
              <w:top w:val="nil"/>
              <w:left w:val="nil"/>
              <w:bottom w:val="single" w:sz="4" w:space="0" w:color="auto"/>
              <w:right w:val="single" w:sz="4" w:space="0" w:color="auto"/>
            </w:tcBorders>
            <w:shd w:val="clear" w:color="000000" w:fill="FFFFFF"/>
          </w:tcPr>
          <w:p w:rsidR="00124D62"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FB498C">
              <w:rPr>
                <w:rFonts w:ascii="Times New Roman" w:eastAsia="Times New Roman" w:hAnsi="Times New Roman" w:cs="Times New Roman"/>
                <w:color w:val="000000"/>
                <w:sz w:val="14"/>
                <w:szCs w:val="14"/>
                <w:lang w:eastAsia="ru-RU"/>
              </w:rPr>
              <w:t>Обеспечивает правильную маркировку пробирок вне зависимости от знания иностранных языков медперсоналом.</w:t>
            </w:r>
          </w:p>
        </w:tc>
        <w:tc>
          <w:tcPr>
            <w:tcW w:w="323" w:type="pct"/>
            <w:vMerge/>
            <w:tcBorders>
              <w:top w:val="nil"/>
              <w:left w:val="single" w:sz="4" w:space="0" w:color="auto"/>
              <w:bottom w:val="single" w:sz="4" w:space="0" w:color="auto"/>
              <w:right w:val="single" w:sz="4" w:space="0" w:color="auto"/>
            </w:tcBorders>
            <w:shd w:val="clear" w:color="000000" w:fill="FFFFFF"/>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r>
      <w:tr w:rsidR="00124D62" w:rsidRPr="00124D62" w:rsidTr="00124D62">
        <w:tc>
          <w:tcPr>
            <w:tcW w:w="138"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tcBorders>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Инструкция на русском языке</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Наличие</w:t>
            </w:r>
          </w:p>
        </w:tc>
        <w:tc>
          <w:tcPr>
            <w:tcW w:w="41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124D62" w:rsidRPr="00124D62" w:rsidRDefault="00124D62" w:rsidP="00FB498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sidR="00FB498C">
              <w:rPr>
                <w:rFonts w:ascii="Times New Roman" w:hAnsi="Times New Roman" w:cs="Times New Roman"/>
                <w:color w:val="000000"/>
                <w:sz w:val="14"/>
                <w:szCs w:val="14"/>
              </w:rPr>
              <w:t>т изменяться участником закупки</w:t>
            </w:r>
          </w:p>
        </w:tc>
        <w:tc>
          <w:tcPr>
            <w:tcW w:w="599" w:type="pct"/>
            <w:tcBorders>
              <w:top w:val="nil"/>
              <w:left w:val="nil"/>
              <w:bottom w:val="single" w:sz="4" w:space="0" w:color="auto"/>
              <w:right w:val="single" w:sz="4" w:space="0" w:color="auto"/>
            </w:tcBorders>
            <w:shd w:val="clear" w:color="000000" w:fill="FFFFFF"/>
          </w:tcPr>
          <w:p w:rsidR="00124D62" w:rsidRPr="00124D62" w:rsidRDefault="00FB498C" w:rsidP="00FB498C">
            <w:pPr>
              <w:spacing w:after="0" w:line="240" w:lineRule="auto"/>
              <w:jc w:val="center"/>
              <w:rPr>
                <w:rFonts w:ascii="Times New Roman" w:eastAsia="Times New Roman" w:hAnsi="Times New Roman" w:cs="Times New Roman"/>
                <w:color w:val="000000"/>
                <w:sz w:val="14"/>
                <w:szCs w:val="14"/>
                <w:lang w:eastAsia="ru-RU"/>
              </w:rPr>
            </w:pPr>
            <w:r w:rsidRPr="00FB498C">
              <w:rPr>
                <w:rFonts w:ascii="Times New Roman" w:eastAsia="Times New Roman" w:hAnsi="Times New Roman" w:cs="Times New Roman"/>
                <w:color w:val="000000"/>
                <w:sz w:val="14"/>
                <w:szCs w:val="14"/>
                <w:lang w:eastAsia="ru-RU"/>
              </w:rPr>
              <w:t>В соответствии с п. 11 Решения Совета Евразийской экономической комиссии от 12.02.2016 N 27.</w:t>
            </w:r>
          </w:p>
        </w:tc>
        <w:tc>
          <w:tcPr>
            <w:tcW w:w="323" w:type="pct"/>
            <w:vMerge/>
            <w:tcBorders>
              <w:top w:val="nil"/>
              <w:left w:val="single" w:sz="4" w:space="0" w:color="auto"/>
              <w:bottom w:val="single" w:sz="4" w:space="0" w:color="auto"/>
              <w:right w:val="single" w:sz="4" w:space="0" w:color="auto"/>
            </w:tcBorders>
            <w:shd w:val="clear" w:color="000000" w:fill="FFFFFF"/>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124D62" w:rsidRPr="00124D62" w:rsidRDefault="00124D62"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8114E2">
        <w:tc>
          <w:tcPr>
            <w:tcW w:w="138" w:type="pct"/>
            <w:vMerge w:val="restart"/>
          </w:tcPr>
          <w:p w:rsidR="007F4B13" w:rsidRDefault="007F4B13" w:rsidP="007F4B13">
            <w:pPr>
              <w:spacing w:after="0" w:line="240" w:lineRule="auto"/>
              <w:rPr>
                <w:rFonts w:ascii="Times New Roman" w:eastAsia="Times New Roman" w:hAnsi="Times New Roman" w:cs="Times New Roman"/>
                <w:color w:val="000000"/>
                <w:sz w:val="14"/>
                <w:szCs w:val="14"/>
                <w:lang w:eastAsia="ru-RU"/>
              </w:rPr>
            </w:pPr>
          </w:p>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594" w:type="pct"/>
            <w:vMerge w:val="restart"/>
            <w:vAlign w:val="center"/>
          </w:tcPr>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eastAsia="Times New Roman" w:hAnsi="Times New Roman" w:cs="Times New Roman"/>
                <w:color w:val="000000"/>
                <w:sz w:val="14"/>
                <w:szCs w:val="14"/>
                <w:lang w:eastAsia="ru-RU"/>
              </w:rPr>
              <w:t>Пробирка вакуумная для взятия образцов крови ИВД, с K3ЭДТА</w:t>
            </w: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328" w:type="pct"/>
            <w:vMerge w:val="restart"/>
            <w:tcBorders>
              <w:right w:val="single" w:sz="4" w:space="0" w:color="auto"/>
            </w:tcBorders>
            <w:vAlign w:val="center"/>
          </w:tcPr>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eastAsia="Times New Roman" w:hAnsi="Times New Roman" w:cs="Times New Roman"/>
                <w:color w:val="000000"/>
                <w:sz w:val="14"/>
                <w:szCs w:val="14"/>
                <w:lang w:eastAsia="ru-RU"/>
              </w:rPr>
              <w:t>32.50.50.000-00001094</w:t>
            </w:r>
            <w:r>
              <w:rPr>
                <w:rFonts w:ascii="Times New Roman" w:eastAsia="Times New Roman" w:hAnsi="Times New Roman" w:cs="Times New Roman"/>
                <w:color w:val="000000"/>
                <w:sz w:val="14"/>
                <w:szCs w:val="14"/>
                <w:lang w:eastAsia="ru-RU"/>
              </w:rPr>
              <w:t>*</w:t>
            </w: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Высота</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75</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Миллиметр</w:t>
            </w:r>
          </w:p>
        </w:tc>
        <w:tc>
          <w:tcPr>
            <w:tcW w:w="50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single" w:sz="4" w:space="0" w:color="auto"/>
              <w:left w:val="nil"/>
              <w:bottom w:val="single" w:sz="4" w:space="0" w:color="auto"/>
              <w:right w:val="single" w:sz="4" w:space="0" w:color="auto"/>
            </w:tcBorders>
            <w:shd w:val="clear" w:color="000000" w:fill="DDEBF7"/>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Согласно КТРУ</w:t>
            </w:r>
          </w:p>
        </w:tc>
        <w:tc>
          <w:tcPr>
            <w:tcW w:w="323" w:type="pct"/>
            <w:vMerge w:val="restart"/>
            <w:vAlign w:val="center"/>
          </w:tcPr>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3500</w:t>
            </w: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276" w:type="pct"/>
            <w:vMerge w:val="restart"/>
            <w:vAlign w:val="center"/>
          </w:tcPr>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w:t>
            </w:r>
            <w:r w:rsidRPr="00124D62">
              <w:rPr>
                <w:rFonts w:ascii="Times New Roman" w:eastAsia="Times New Roman" w:hAnsi="Times New Roman" w:cs="Times New Roman"/>
                <w:color w:val="000000"/>
                <w:sz w:val="14"/>
                <w:szCs w:val="14"/>
                <w:lang w:eastAsia="ru-RU"/>
              </w:rPr>
              <w:t>т</w:t>
            </w: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Default="007F4B13" w:rsidP="007F4B13">
            <w:pPr>
              <w:spacing w:after="0" w:line="240" w:lineRule="auto"/>
              <w:jc w:val="center"/>
              <w:rPr>
                <w:rFonts w:ascii="Times New Roman" w:eastAsia="Times New Roman" w:hAnsi="Times New Roman" w:cs="Times New Roman"/>
                <w:color w:val="000000"/>
                <w:sz w:val="14"/>
                <w:szCs w:val="14"/>
                <w:lang w:eastAsia="ru-RU"/>
              </w:rPr>
            </w:pPr>
          </w:p>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231" w:type="pct"/>
            <w:vMerge w:val="restar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185" w:type="pct"/>
            <w:vMerge w:val="restar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230" w:type="pct"/>
            <w:vMerge w:val="restart"/>
            <w:vAlign w:val="cente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c>
          <w:tcPr>
            <w:tcW w:w="207" w:type="pct"/>
            <w:vMerge w:val="restart"/>
            <w:vAlign w:val="cente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p>
        </w:tc>
      </w:tr>
      <w:tr w:rsidR="007F4B13" w:rsidRPr="00124D62" w:rsidTr="008114E2">
        <w:tc>
          <w:tcPr>
            <w:tcW w:w="138"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Диаметр</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13</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Миллиметр</w:t>
            </w:r>
          </w:p>
        </w:tc>
        <w:tc>
          <w:tcPr>
            <w:tcW w:w="50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7F4B13" w:rsidRDefault="007F4B13" w:rsidP="007F4B13">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r>
      <w:tr w:rsidR="007F4B13" w:rsidRPr="00124D62" w:rsidTr="008114E2">
        <w:tc>
          <w:tcPr>
            <w:tcW w:w="138"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Количество в упаковке</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≤100</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Участник закупки указывает в заявке конкретное значение характеристики</w:t>
            </w:r>
          </w:p>
        </w:tc>
        <w:tc>
          <w:tcPr>
            <w:tcW w:w="599" w:type="pct"/>
            <w:tcBorders>
              <w:top w:val="nil"/>
              <w:left w:val="nil"/>
              <w:bottom w:val="single" w:sz="4" w:space="0" w:color="auto"/>
              <w:right w:val="single" w:sz="4" w:space="0" w:color="auto"/>
            </w:tcBorders>
            <w:shd w:val="clear" w:color="000000" w:fill="DDEBF7"/>
          </w:tcPr>
          <w:p w:rsidR="007F4B13" w:rsidRDefault="007F4B13" w:rsidP="007F4B13">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r>
      <w:tr w:rsidR="007F4B13" w:rsidRPr="00124D62" w:rsidTr="008114E2">
        <w:trPr>
          <w:trHeight w:val="426"/>
        </w:trPr>
        <w:tc>
          <w:tcPr>
            <w:tcW w:w="138"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Материал пробирки</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Пластик</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7F4B13" w:rsidRDefault="007F4B13" w:rsidP="007F4B13">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r>
      <w:tr w:rsidR="007F4B13" w:rsidRPr="00124D62" w:rsidTr="008114E2">
        <w:tc>
          <w:tcPr>
            <w:tcW w:w="138"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Объем</w:t>
            </w:r>
          </w:p>
        </w:tc>
        <w:tc>
          <w:tcPr>
            <w:tcW w:w="553"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4</w:t>
            </w:r>
          </w:p>
        </w:tc>
        <w:tc>
          <w:tcPr>
            <w:tcW w:w="41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Кубический сантиметр;^миллилитр</w:t>
            </w:r>
          </w:p>
        </w:tc>
        <w:tc>
          <w:tcPr>
            <w:tcW w:w="50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может изменяться участником закупки</w:t>
            </w:r>
          </w:p>
        </w:tc>
        <w:tc>
          <w:tcPr>
            <w:tcW w:w="599" w:type="pct"/>
            <w:tcBorders>
              <w:top w:val="nil"/>
              <w:left w:val="nil"/>
              <w:bottom w:val="single" w:sz="4" w:space="0" w:color="auto"/>
              <w:right w:val="single" w:sz="4" w:space="0" w:color="auto"/>
            </w:tcBorders>
            <w:shd w:val="clear" w:color="000000" w:fill="DDEBF7"/>
          </w:tcPr>
          <w:p w:rsidR="007F4B13" w:rsidRDefault="007F4B13" w:rsidP="007F4B13">
            <w:pPr>
              <w:jc w:val="center"/>
            </w:pPr>
            <w:r w:rsidRPr="00F02111">
              <w:rPr>
                <w:rFonts w:ascii="Times New Roman" w:eastAsia="Times New Roman" w:hAnsi="Times New Roman" w:cs="Times New Roman"/>
                <w:color w:val="000000"/>
                <w:sz w:val="14"/>
                <w:szCs w:val="14"/>
                <w:lang w:eastAsia="ru-RU"/>
              </w:rPr>
              <w:t>Согласно КТРУ</w:t>
            </w:r>
          </w:p>
        </w:tc>
        <w:tc>
          <w:tcPr>
            <w:tcW w:w="323"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7F4B1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bottom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Тип крышки</w:t>
            </w:r>
          </w:p>
        </w:tc>
        <w:tc>
          <w:tcPr>
            <w:tcW w:w="5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Полнозаходная винтовая резьба</w:t>
            </w:r>
          </w:p>
        </w:tc>
        <w:tc>
          <w:tcPr>
            <w:tcW w:w="414"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vMerge w:val="restar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Участник закупки указывает в заявке толь</w:t>
            </w:r>
            <w:r>
              <w:rPr>
                <w:rFonts w:ascii="Times New Roman" w:hAnsi="Times New Roman" w:cs="Times New Roman"/>
                <w:color w:val="000000"/>
                <w:sz w:val="14"/>
                <w:szCs w:val="14"/>
              </w:rPr>
              <w:t>ко одно значение характеристики</w:t>
            </w:r>
          </w:p>
        </w:tc>
        <w:tc>
          <w:tcPr>
            <w:tcW w:w="599" w:type="pct"/>
            <w:vMerge w:val="restar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Для повышения безопасности и качества работы с образцами (предотвращение случайного открытия, вытекания образца, особенно при транспортировке и хранении, минимизация эффекта аэрозольного распыления при перепаде давлений при открывании пробирки, возможность создания герметичности при многократных манипуляциях с пробиркой.</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bottom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53"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59FC">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xml:space="preserve">Двухступенчатая система снятия крышки, реализованная за счет наличия выступов по периметру на </w:t>
            </w:r>
            <w:r w:rsidR="003B59FC">
              <w:rPr>
                <w:rFonts w:ascii="Times New Roman" w:hAnsi="Times New Roman" w:cs="Times New Roman"/>
                <w:color w:val="000000"/>
                <w:sz w:val="14"/>
                <w:szCs w:val="14"/>
              </w:rPr>
              <w:t>внутренней</w:t>
            </w:r>
            <w:r w:rsidRPr="00124D62">
              <w:rPr>
                <w:rFonts w:ascii="Times New Roman" w:hAnsi="Times New Roman" w:cs="Times New Roman"/>
                <w:color w:val="000000"/>
                <w:sz w:val="14"/>
                <w:szCs w:val="14"/>
              </w:rPr>
              <w:t xml:space="preserve"> и внешней поверхности пробирки, а также на внутренней поверхности крышки</w:t>
            </w:r>
          </w:p>
        </w:tc>
        <w:tc>
          <w:tcPr>
            <w:tcW w:w="414"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p>
        </w:tc>
        <w:tc>
          <w:tcPr>
            <w:tcW w:w="507" w:type="pct"/>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p>
        </w:tc>
        <w:tc>
          <w:tcPr>
            <w:tcW w:w="599"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Особенности исполнения крышки пробирки (пробки)</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Полностью открытый верх стоппера (пробки)</w:t>
            </w:r>
          </w:p>
        </w:tc>
        <w:tc>
          <w:tcPr>
            <w:tcW w:w="41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Pr>
                <w:rFonts w:ascii="Times New Roman" w:hAnsi="Times New Roman" w:cs="Times New Roman"/>
                <w:color w:val="000000"/>
                <w:sz w:val="14"/>
                <w:szCs w:val="14"/>
              </w:rPr>
              <w:t>т изменяться участником закупки</w:t>
            </w:r>
          </w:p>
        </w:tc>
        <w:tc>
          <w:tcPr>
            <w:tcW w:w="599" w:type="pc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Снижает риск повреждения иглы пробозаборника при отклонении пробирки в гнезде трака на борту прибора от строго вертикального положения.</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Цветовой код крышки</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Лавандовый цвет (Бледно-лиловый)</w:t>
            </w:r>
          </w:p>
        </w:tc>
        <w:tc>
          <w:tcPr>
            <w:tcW w:w="41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Pr>
                <w:rFonts w:ascii="Times New Roman" w:hAnsi="Times New Roman" w:cs="Times New Roman"/>
                <w:color w:val="000000"/>
                <w:sz w:val="14"/>
                <w:szCs w:val="14"/>
              </w:rPr>
              <w:t>т изменяться участником закупки</w:t>
            </w:r>
            <w:r w:rsidRPr="00124D62">
              <w:rPr>
                <w:rFonts w:ascii="Times New Roman" w:hAnsi="Times New Roman" w:cs="Times New Roman"/>
                <w:sz w:val="14"/>
                <w:szCs w:val="14"/>
              </w:rPr>
              <w:t xml:space="preserve"> </w:t>
            </w:r>
          </w:p>
        </w:tc>
        <w:tc>
          <w:tcPr>
            <w:tcW w:w="599" w:type="pc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Быстрая и точная идентификация проб, соответствует ГОСТ Р ИСО 6710-2021.</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Допустимое отклонение от номинального объема пробы ±10 %</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Соответствие</w:t>
            </w:r>
          </w:p>
        </w:tc>
        <w:tc>
          <w:tcPr>
            <w:tcW w:w="41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Pr>
                <w:rFonts w:ascii="Times New Roman" w:hAnsi="Times New Roman" w:cs="Times New Roman"/>
                <w:color w:val="000000"/>
                <w:sz w:val="14"/>
                <w:szCs w:val="14"/>
              </w:rPr>
              <w:t>т изменяться участником закупки</w:t>
            </w:r>
          </w:p>
        </w:tc>
        <w:tc>
          <w:tcPr>
            <w:tcW w:w="599" w:type="pc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В соответствии с ГОСТ Р ИСО 6710-2021.</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Этикетка с русифицированными полями для внесения данных</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Наличие</w:t>
            </w:r>
          </w:p>
        </w:tc>
        <w:tc>
          <w:tcPr>
            <w:tcW w:w="41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Значение характеристики не може</w:t>
            </w:r>
            <w:r>
              <w:rPr>
                <w:rFonts w:ascii="Times New Roman" w:hAnsi="Times New Roman" w:cs="Times New Roman"/>
                <w:color w:val="000000"/>
                <w:sz w:val="14"/>
                <w:szCs w:val="14"/>
              </w:rPr>
              <w:t>т изменяться участником закупки</w:t>
            </w:r>
          </w:p>
        </w:tc>
        <w:tc>
          <w:tcPr>
            <w:tcW w:w="599" w:type="pc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Обеспечивает правильную маркировку пробирок вне зависимости от знания иностранных языков медперсоналом.</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r w:rsidR="007F4B13" w:rsidRPr="00124D62" w:rsidTr="00124D62">
        <w:tc>
          <w:tcPr>
            <w:tcW w:w="138"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594"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328" w:type="pct"/>
            <w:vMerge/>
            <w:tcBorders>
              <w:top w:val="single" w:sz="4" w:space="0" w:color="auto"/>
              <w:right w:val="single" w:sz="4" w:space="0" w:color="auto"/>
            </w:tcBorders>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415"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Инструкция на русском языке</w:t>
            </w:r>
          </w:p>
        </w:tc>
        <w:tc>
          <w:tcPr>
            <w:tcW w:w="553"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Наличие</w:t>
            </w:r>
          </w:p>
        </w:tc>
        <w:tc>
          <w:tcPr>
            <w:tcW w:w="414"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3B4B3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124D62">
              <w:rPr>
                <w:rFonts w:ascii="Times New Roman" w:hAnsi="Times New Roman" w:cs="Times New Roman"/>
                <w:color w:val="000000"/>
                <w:sz w:val="14"/>
                <w:szCs w:val="14"/>
              </w:rPr>
              <w:t xml:space="preserve">Значение характеристики не может </w:t>
            </w:r>
            <w:r>
              <w:rPr>
                <w:rFonts w:ascii="Times New Roman" w:hAnsi="Times New Roman" w:cs="Times New Roman"/>
                <w:color w:val="000000"/>
                <w:sz w:val="14"/>
                <w:szCs w:val="14"/>
              </w:rPr>
              <w:t>изменяться участником закупки</w:t>
            </w:r>
          </w:p>
        </w:tc>
        <w:tc>
          <w:tcPr>
            <w:tcW w:w="599" w:type="pct"/>
          </w:tcPr>
          <w:p w:rsidR="007F4B13" w:rsidRPr="00124D62" w:rsidRDefault="007F4B13" w:rsidP="007F4B13">
            <w:pPr>
              <w:spacing w:after="0" w:line="240" w:lineRule="auto"/>
              <w:jc w:val="center"/>
              <w:rPr>
                <w:rFonts w:ascii="Times New Roman" w:eastAsia="Times New Roman" w:hAnsi="Times New Roman" w:cs="Times New Roman"/>
                <w:color w:val="000000"/>
                <w:sz w:val="14"/>
                <w:szCs w:val="14"/>
                <w:lang w:eastAsia="ru-RU"/>
              </w:rPr>
            </w:pPr>
            <w:r w:rsidRPr="007F4B13">
              <w:rPr>
                <w:rFonts w:ascii="Times New Roman" w:eastAsia="Times New Roman" w:hAnsi="Times New Roman" w:cs="Times New Roman"/>
                <w:color w:val="000000"/>
                <w:sz w:val="14"/>
                <w:szCs w:val="14"/>
                <w:lang w:eastAsia="ru-RU"/>
              </w:rPr>
              <w:t>В соответствии с п. 11 Решения Совета Евразийской экономической комиссии от 12.02.2016 N 27.</w:t>
            </w:r>
          </w:p>
        </w:tc>
        <w:tc>
          <w:tcPr>
            <w:tcW w:w="323"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76"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1"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185" w:type="pct"/>
            <w:vMerge/>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30"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c>
          <w:tcPr>
            <w:tcW w:w="207" w:type="pct"/>
            <w:vMerge/>
            <w:vAlign w:val="center"/>
          </w:tcPr>
          <w:p w:rsidR="007F4B13" w:rsidRPr="00124D62" w:rsidRDefault="007F4B13" w:rsidP="003B4B33">
            <w:pPr>
              <w:spacing w:after="0" w:line="240" w:lineRule="auto"/>
              <w:rPr>
                <w:rFonts w:ascii="Times New Roman" w:eastAsia="Times New Roman" w:hAnsi="Times New Roman" w:cs="Times New Roman"/>
                <w:color w:val="000000"/>
                <w:sz w:val="14"/>
                <w:szCs w:val="14"/>
                <w:lang w:eastAsia="ru-RU"/>
              </w:rPr>
            </w:pPr>
          </w:p>
        </w:tc>
      </w:tr>
    </w:tbl>
    <w:p w:rsidR="007F4B13" w:rsidRDefault="007F4B13" w:rsidP="007F4B13">
      <w:pPr>
        <w:spacing w:after="0" w:line="240" w:lineRule="auto"/>
        <w:rPr>
          <w:rFonts w:ascii="Times New Roman" w:eastAsia="Times New Roman" w:hAnsi="Times New Roman" w:cs="Times New Roman"/>
          <w:b/>
          <w:bCs/>
          <w:i/>
          <w:color w:val="000000"/>
          <w:lang w:eastAsia="ru-RU"/>
        </w:rPr>
      </w:pPr>
    </w:p>
    <w:p w:rsidR="007F4B13" w:rsidRDefault="007F4B13" w:rsidP="007F4B13">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124D62">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AE" w:rsidRDefault="009545AE">
      <w:pPr>
        <w:spacing w:after="0" w:line="240" w:lineRule="auto"/>
      </w:pPr>
      <w:r>
        <w:separator/>
      </w:r>
    </w:p>
  </w:endnote>
  <w:endnote w:type="continuationSeparator" w:id="0">
    <w:p w:rsidR="009545AE" w:rsidRDefault="0095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7F06" w:rsidRDefault="00A87F0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7F0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87F0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87F0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7F0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87F0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B59F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AE" w:rsidRDefault="009545AE">
      <w:pPr>
        <w:spacing w:after="0" w:line="240" w:lineRule="auto"/>
      </w:pPr>
      <w:r>
        <w:separator/>
      </w:r>
    </w:p>
  </w:footnote>
  <w:footnote w:type="continuationSeparator" w:id="0">
    <w:p w:rsidR="009545AE" w:rsidRDefault="009545A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7F06" w:rsidRDefault="00A87F0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7F06" w:rsidRDefault="00A87F0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87F06" w:rsidRDefault="00A87F0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24D62"/>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59FC"/>
    <w:rsid w:val="003C02B9"/>
    <w:rsid w:val="003C6250"/>
    <w:rsid w:val="003D1995"/>
    <w:rsid w:val="003D2D0B"/>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B13"/>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45AE"/>
    <w:rsid w:val="00964265"/>
    <w:rsid w:val="00971FDB"/>
    <w:rsid w:val="009765E0"/>
    <w:rsid w:val="009840D8"/>
    <w:rsid w:val="00991266"/>
    <w:rsid w:val="009938B0"/>
    <w:rsid w:val="009A0334"/>
    <w:rsid w:val="009A2C92"/>
    <w:rsid w:val="009B40C9"/>
    <w:rsid w:val="009D1527"/>
    <w:rsid w:val="009D408E"/>
    <w:rsid w:val="009D7DF8"/>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87F06"/>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498C"/>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6B48-0029-493F-AA59-3B517A39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2026-04-29T10:58:00Z</dcterms:created>
  <dcterms:modified xsi:type="dcterms:W3CDTF">2026-04-29T10:58:00Z</dcterms:modified>
</cp:coreProperties>
</file>